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69" w:rsidRP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 w:rsidRPr="00356B6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Sarah E. Anderson</w:t>
      </w:r>
    </w:p>
    <w:p w:rsidR="00356B69" w:rsidRPr="00972A78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-324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14"/>
        <w:gridCol w:w="4542"/>
      </w:tblGrid>
      <w:tr w:rsidR="00356B69" w:rsidRPr="00356B69" w:rsidTr="00135C43">
        <w:tc>
          <w:tcPr>
            <w:tcW w:w="6266" w:type="dxa"/>
          </w:tcPr>
          <w:p w:rsidR="00356B69" w:rsidRP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Bren School of Environmental Science &amp; Management</w:t>
            </w:r>
          </w:p>
          <w:p w:rsidR="00356B69" w:rsidRP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4510 Bren Hall</w:t>
            </w:r>
          </w:p>
          <w:p w:rsidR="00356B69" w:rsidRP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University of California</w:t>
            </w:r>
          </w:p>
          <w:p w:rsidR="00356B69" w:rsidRP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Santa Barbara, CA 93106-5131</w:t>
            </w:r>
          </w:p>
        </w:tc>
        <w:tc>
          <w:tcPr>
            <w:tcW w:w="4606" w:type="dxa"/>
          </w:tcPr>
          <w:p w:rsidR="0061270A" w:rsidRPr="00356B69" w:rsidRDefault="00204BF8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Cell</w:t>
            </w:r>
            <w:r w:rsidR="0061270A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: 805-722-7022</w:t>
            </w:r>
          </w:p>
          <w:p w:rsidR="00356B69" w:rsidRP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>Fax: 805-893-7612</w:t>
            </w:r>
          </w:p>
          <w:p w:rsidR="00356B69" w:rsidRDefault="00356B69" w:rsidP="00356B69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 xml:space="preserve">Email: </w:t>
            </w:r>
            <w:hyperlink r:id="rId6" w:history="1">
              <w:r w:rsidR="00435828" w:rsidRPr="00CA1D25">
                <w:rPr>
                  <w:rStyle w:val="Hyperlink"/>
                  <w:rFonts w:ascii="Garamond" w:eastAsia="Times New Roman" w:hAnsi="Garamond" w:cs="Times New Roman"/>
                  <w:bCs/>
                  <w:sz w:val="24"/>
                  <w:szCs w:val="24"/>
                </w:rPr>
                <w:t>sanderson@bren.ucsb.edu</w:t>
              </w:r>
            </w:hyperlink>
          </w:p>
          <w:p w:rsidR="00435828" w:rsidRPr="00356B69" w:rsidRDefault="00435828" w:rsidP="00435828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  <w:r w:rsidRPr="00356B6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  <w:t xml:space="preserve">Website: </w:t>
            </w:r>
            <w:r w:rsidRPr="00356B69">
              <w:rPr>
                <w:rFonts w:ascii="Garamond" w:eastAsia="Times New Roman" w:hAnsi="Garamond" w:cs="Times New Roman"/>
                <w:bCs/>
                <w:color w:val="0000FF"/>
                <w:sz w:val="24"/>
                <w:szCs w:val="24"/>
                <w:u w:val="single"/>
              </w:rPr>
              <w:t>http://</w:t>
            </w:r>
            <w:r>
              <w:rPr>
                <w:rFonts w:ascii="Garamond" w:eastAsia="Times New Roman" w:hAnsi="Garamond" w:cs="Times New Roman"/>
                <w:bCs/>
                <w:color w:val="0000FF"/>
                <w:sz w:val="24"/>
                <w:szCs w:val="24"/>
                <w:u w:val="single"/>
              </w:rPr>
              <w:t>seanderson.org</w:t>
            </w:r>
          </w:p>
        </w:tc>
      </w:tr>
      <w:tr w:rsidR="00356B69" w:rsidRPr="00356B69" w:rsidTr="00135C43">
        <w:tc>
          <w:tcPr>
            <w:tcW w:w="10872" w:type="dxa"/>
            <w:gridSpan w:val="2"/>
          </w:tcPr>
          <w:p w:rsidR="00356B69" w:rsidRPr="00356B69" w:rsidRDefault="00356B69" w:rsidP="00435828">
            <w:pPr>
              <w:tabs>
                <w:tab w:val="left" w:pos="0"/>
                <w:tab w:val="left" w:pos="1440"/>
                <w:tab w:val="left" w:pos="1980"/>
                <w:tab w:val="left" w:pos="22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56B69" w:rsidRP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-324"/>
        <w:rPr>
          <w:rFonts w:ascii="Garamond" w:eastAsia="Times New Roman" w:hAnsi="Garamond" w:cs="Times New Roman"/>
          <w:bCs/>
          <w:color w:val="000000"/>
          <w:sz w:val="24"/>
          <w:szCs w:val="24"/>
        </w:rPr>
        <w:sectPr w:rsidR="00356B69" w:rsidRPr="00356B69" w:rsidSect="00C66448">
          <w:headerReference w:type="default" r:id="rId7"/>
          <w:endnotePr>
            <w:numFmt w:val="decimal"/>
          </w:endnotePr>
          <w:pgSz w:w="12240" w:h="15840"/>
          <w:pgMar w:top="1008" w:right="720" w:bottom="720" w:left="864" w:header="1008" w:footer="994" w:gutter="0"/>
          <w:cols w:space="720"/>
          <w:noEndnote/>
          <w:docGrid w:linePitch="299"/>
        </w:sectPr>
      </w:pPr>
    </w:p>
    <w:p w:rsidR="0034059D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t>Education</w:t>
      </w:r>
      <w:r w:rsidRPr="00356B6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tab/>
      </w:r>
    </w:p>
    <w:p w:rsidR="00356B69" w:rsidRPr="00356B69" w:rsidRDefault="0034059D" w:rsidP="0034059D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tab/>
      </w:r>
      <w:r w:rsidR="00356B69" w:rsidRPr="00356B6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Stanford University, </w:t>
      </w:r>
      <w:r w:rsidR="00356B69"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>S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tanford, CA, </w:t>
      </w:r>
      <w:r w:rsidR="00356B69"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>2001-2006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ab/>
        <w:t>Ph.D. in Political Science, June 2006</w:t>
      </w:r>
    </w:p>
    <w:p w:rsidR="00356B69" w:rsidRP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ab/>
        <w:t>M.A. in Economics, June 2006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Massachusetts Institute of Technology</w:t>
      </w:r>
      <w:r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,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Cambridge, MA, </w:t>
      </w:r>
      <w:r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>1995-1999</w:t>
      </w:r>
    </w:p>
    <w:p w:rsidR="00356B69" w:rsidRPr="00356B69" w:rsidRDefault="0034059D" w:rsidP="0034059D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S.B. in Political Science, minor in Economics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Academic Positions</w:t>
      </w:r>
    </w:p>
    <w:p w:rsidR="001567A8" w:rsidRDefault="001567A8" w:rsidP="0034059D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bookmarkStart w:id="0" w:name="_Hlk63252486"/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Professor, Bren School of Environmental Science &amp; Management &amp; Department of Political Science,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University of California Santa Barbara, CA, 2020-present</w:t>
      </w:r>
    </w:p>
    <w:p w:rsidR="007324F7" w:rsidRPr="007324F7" w:rsidRDefault="007324F7" w:rsidP="0034059D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Associate Dean, Diversity, Equity, and Inclusion, </w:t>
      </w:r>
      <w:r w:rsidR="00CA20DA">
        <w:rPr>
          <w:rFonts w:ascii="Garamond" w:eastAsia="Times New Roman" w:hAnsi="Garamond" w:cs="Times New Roman"/>
          <w:color w:val="000000"/>
          <w:sz w:val="24"/>
          <w:szCs w:val="24"/>
        </w:rPr>
        <w:t xml:space="preserve">Bren School,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University of California Santa Barbara, Santa Barbara, CA, 2019-present</w:t>
      </w:r>
    </w:p>
    <w:bookmarkEnd w:id="0"/>
    <w:p w:rsidR="0034059D" w:rsidRDefault="00BE428C" w:rsidP="0034059D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Founding </w:t>
      </w:r>
      <w:r w:rsidR="00CA20D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Faculty </w:t>
      </w:r>
      <w:r w:rsidR="004A1A5B" w:rsidRPr="004A1A5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Director, </w:t>
      </w:r>
      <w:hyperlink r:id="rId8" w:history="1">
        <w:r w:rsidR="00CA20DA" w:rsidRPr="00994B11">
          <w:rPr>
            <w:rStyle w:val="Hyperlink"/>
            <w:rFonts w:ascii="Garamond" w:eastAsia="Times New Roman" w:hAnsi="Garamond" w:cs="Times New Roman"/>
            <w:b/>
            <w:sz w:val="24"/>
            <w:szCs w:val="24"/>
          </w:rPr>
          <w:t>UC Disaster Resilience Network</w:t>
        </w:r>
      </w:hyperlink>
      <w:r w:rsidR="00CA20D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r w:rsidR="00CA20DA">
        <w:rPr>
          <w:rFonts w:ascii="Garamond" w:eastAsia="Times New Roman" w:hAnsi="Garamond" w:cs="Times New Roman"/>
          <w:color w:val="000000"/>
          <w:sz w:val="24"/>
          <w:szCs w:val="24"/>
        </w:rPr>
        <w:t>2021-</w:t>
      </w:r>
      <w:r w:rsidR="00D5772C">
        <w:rPr>
          <w:rFonts w:ascii="Garamond" w:eastAsia="Times New Roman" w:hAnsi="Garamond" w:cs="Times New Roman"/>
          <w:color w:val="000000"/>
          <w:sz w:val="24"/>
          <w:szCs w:val="24"/>
        </w:rPr>
        <w:t>2023</w:t>
      </w:r>
    </w:p>
    <w:p w:rsidR="001567A8" w:rsidRDefault="001567A8" w:rsidP="001567A8">
      <w:pPr>
        <w:tabs>
          <w:tab w:val="left" w:pos="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Associate</w:t>
      </w: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Professor,</w:t>
      </w: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 B</w:t>
      </w: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ren School of Environmental Science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&amp;</w:t>
      </w: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Management &amp; Department of Political Science</w:t>
      </w: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University of California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Santa Barbara, CA</w:t>
      </w:r>
      <w:r w:rsidRPr="0034059D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aps/>
          <w:color w:val="000000"/>
          <w:sz w:val="24"/>
          <w:szCs w:val="24"/>
        </w:rPr>
        <w:t>2014</w:t>
      </w:r>
      <w:r w:rsidRPr="00356B69">
        <w:rPr>
          <w:rFonts w:ascii="Garamond" w:eastAsia="Times New Roman" w:hAnsi="Garamond" w:cs="Times New Roman"/>
          <w:caps/>
          <w:color w:val="000000"/>
          <w:sz w:val="24"/>
          <w:szCs w:val="24"/>
        </w:rPr>
        <w:t>-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2020</w:t>
      </w:r>
    </w:p>
    <w:p w:rsidR="00356B69" w:rsidRPr="0034059D" w:rsidRDefault="00356B69" w:rsidP="0034059D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>Assistant Professor,</w:t>
      </w: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 B</w:t>
      </w: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>ren School of Environmental Science and Management &amp; Department of Political Science</w:t>
      </w: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,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University of California Santa Barbara, CA</w:t>
      </w:r>
      <w:r w:rsidR="003405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34059D" w:rsidRPr="00356B69">
        <w:rPr>
          <w:rFonts w:ascii="Garamond" w:eastAsia="Times New Roman" w:hAnsi="Garamond" w:cs="Times New Roman"/>
          <w:caps/>
          <w:color w:val="000000"/>
          <w:sz w:val="24"/>
          <w:szCs w:val="24"/>
        </w:rPr>
        <w:t>2007-</w:t>
      </w:r>
      <w:r w:rsidR="0034059D" w:rsidRPr="00356B69">
        <w:rPr>
          <w:rFonts w:ascii="Garamond" w:eastAsia="Times New Roman" w:hAnsi="Garamond" w:cs="Times New Roman"/>
          <w:color w:val="000000"/>
          <w:sz w:val="24"/>
          <w:szCs w:val="24"/>
        </w:rPr>
        <w:t>present</w:t>
      </w:r>
    </w:p>
    <w:p w:rsidR="00356B69" w:rsidRPr="0034059D" w:rsidRDefault="00356B69" w:rsidP="0034059D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W. Glenn Campbell and Rita Ricardo-Campbell National Fellow,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Hoover Institution, Stanford University</w:t>
      </w:r>
      <w:r w:rsidR="0034059D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34059D" w:rsidRPr="003405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4059D" w:rsidRPr="00356B69">
        <w:rPr>
          <w:rFonts w:ascii="Garamond" w:eastAsia="Times New Roman" w:hAnsi="Garamond" w:cs="Times New Roman"/>
          <w:color w:val="000000"/>
          <w:sz w:val="24"/>
          <w:szCs w:val="24"/>
        </w:rPr>
        <w:t>2006-2007</w:t>
      </w:r>
    </w:p>
    <w:p w:rsidR="00EE7E68" w:rsidRDefault="00EE7E68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</w:p>
    <w:p w:rsidR="00EE7E68" w:rsidRDefault="00EE7E68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Book</w:t>
      </w:r>
    </w:p>
    <w:p w:rsidR="00EE7E68" w:rsidRDefault="00EE7E68" w:rsidP="00EE7E68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Anderson, Sarah E., Daniel Butler, and Laurel Harbridge</w:t>
      </w:r>
      <w:r w:rsidR="0013271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Yong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8E324B">
        <w:rPr>
          <w:rFonts w:ascii="Garamond" w:eastAsia="Times New Roman" w:hAnsi="Garamond" w:cs="Times New Roman"/>
          <w:color w:val="000000"/>
          <w:sz w:val="24"/>
          <w:szCs w:val="24"/>
        </w:rPr>
        <w:t>2020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“Rejecting Compromise: Legislators’ Perceptions of Primary Voters.” Cambridge University Press.</w:t>
      </w:r>
    </w:p>
    <w:p w:rsidR="00CA20DA" w:rsidRPr="00CA20DA" w:rsidRDefault="00CA20DA" w:rsidP="00EE7E68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hyperlink r:id="rId9" w:history="1">
        <w:r w:rsidRPr="00CA20DA">
          <w:rPr>
            <w:rStyle w:val="Hyperlink"/>
            <w:rFonts w:ascii="Garamond" w:eastAsia="Times New Roman" w:hAnsi="Garamond" w:cs="Times New Roman"/>
            <w:sz w:val="24"/>
            <w:szCs w:val="24"/>
          </w:rPr>
          <w:t>Reviewed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Perspectives on Politics.</w:t>
      </w:r>
    </w:p>
    <w:p w:rsidR="00EE7E68" w:rsidRDefault="00EE7E68" w:rsidP="00FD11B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EE7E68" w:rsidRDefault="00EE7E68" w:rsidP="00EE7E68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Peer-Reviewed Articles </w:t>
      </w:r>
    </w:p>
    <w:p w:rsidR="006C08A5" w:rsidRDefault="006C08A5" w:rsidP="002347D9">
      <w:pPr>
        <w:spacing w:after="0"/>
        <w:ind w:left="450" w:hanging="48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bookmarkStart w:id="1" w:name="_Hlk63252424"/>
      <w:r w:rsidRPr="002347D9">
        <w:rPr>
          <w:rFonts w:ascii="Garamond" w:hAnsi="Garamond"/>
          <w:sz w:val="24"/>
          <w:szCs w:val="24"/>
        </w:rPr>
        <w:t>Anderson, Sarah E.</w:t>
      </w:r>
      <w:r>
        <w:rPr>
          <w:rFonts w:ascii="Garamond" w:hAnsi="Garamond"/>
          <w:sz w:val="24"/>
          <w:szCs w:val="24"/>
        </w:rPr>
        <w:t xml:space="preserve">, Matthew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Wibbenmeyer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and Andrew J. Plantinga. </w:t>
      </w:r>
      <w:r w:rsidR="00C92D4D">
        <w:rPr>
          <w:rFonts w:ascii="Garamond" w:eastAsia="Times New Roman" w:hAnsi="Garamond" w:cs="Times New Roman"/>
          <w:color w:val="000000"/>
          <w:sz w:val="24"/>
          <w:szCs w:val="24"/>
        </w:rPr>
        <w:t>Forthcoming</w:t>
      </w:r>
      <w:r w:rsidR="00C92D4D" w:rsidRPr="00C92D4D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C92D4D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10" w:history="1">
        <w:r w:rsidR="00C92D4D" w:rsidRPr="00A73DF5">
          <w:rPr>
            <w:rStyle w:val="Hyperlink"/>
            <w:rFonts w:ascii="Garamond" w:eastAsia="Times New Roman" w:hAnsi="Garamond" w:cs="Times New Roman"/>
            <w:sz w:val="24"/>
            <w:szCs w:val="24"/>
          </w:rPr>
          <w:t>Inequality in Agency Responsiveness: Evidence from Salient Wildfire Events</w:t>
        </w:r>
      </w:hyperlink>
      <w:r w:rsidR="00C92D4D" w:rsidRPr="00C92D4D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C92D4D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 w:rsidR="00C92D4D" w:rsidRPr="00C92D4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92D4D">
        <w:rPr>
          <w:rFonts w:ascii="Garamond" w:eastAsia="Times New Roman" w:hAnsi="Garamond" w:cs="Times New Roman"/>
          <w:i/>
          <w:color w:val="000000"/>
          <w:sz w:val="24"/>
          <w:szCs w:val="24"/>
        </w:rPr>
        <w:t>Journal of Politics</w:t>
      </w:r>
      <w:r w:rsidR="00A73DF5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A73DF5" w:rsidRPr="00A73DF5">
        <w:rPr>
          <w:rFonts w:ascii="Garamond" w:eastAsia="Times New Roman" w:hAnsi="Garamond" w:cs="Times New Roman"/>
          <w:color w:val="000000"/>
          <w:sz w:val="24"/>
          <w:szCs w:val="24"/>
        </w:rPr>
        <w:t>85(2)</w:t>
      </w:r>
      <w:r w:rsidR="00C92D4D"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</w:p>
    <w:p w:rsidR="00FF4D64" w:rsidRPr="006002DF" w:rsidRDefault="00FF4D64" w:rsidP="00FF4D64">
      <w:pPr>
        <w:spacing w:after="0"/>
        <w:ind w:left="450" w:hanging="4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002DF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Rob </w:t>
      </w:r>
      <w:proofErr w:type="spellStart"/>
      <w:r w:rsidRPr="006002DF">
        <w:rPr>
          <w:rFonts w:ascii="Garamond" w:eastAsia="Times New Roman" w:hAnsi="Garamond" w:cs="Times New Roman"/>
          <w:color w:val="000000"/>
          <w:sz w:val="24"/>
          <w:szCs w:val="24"/>
        </w:rPr>
        <w:t>DeLeo</w:t>
      </w:r>
      <w:proofErr w:type="spellEnd"/>
      <w:r w:rsidRPr="006002DF">
        <w:rPr>
          <w:rFonts w:ascii="Garamond" w:eastAsia="Times New Roman" w:hAnsi="Garamond" w:cs="Times New Roman"/>
          <w:color w:val="000000"/>
          <w:sz w:val="24"/>
          <w:szCs w:val="24"/>
        </w:rPr>
        <w:t>, and Kristin Taylor.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Forthcoming.</w:t>
      </w:r>
      <w:r w:rsidRPr="006002D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</w:t>
      </w:r>
      <w:hyperlink r:id="rId11" w:history="1">
        <w:r w:rsidRPr="006002DF">
          <w:rPr>
            <w:rStyle w:val="Hyperlink"/>
            <w:rFonts w:ascii="Garamond" w:eastAsia="Times New Roman" w:hAnsi="Garamond" w:cs="Times New Roman"/>
            <w:sz w:val="24"/>
            <w:szCs w:val="24"/>
          </w:rPr>
          <w:t>Legislators Do Not Harness Voter Support for Disaster Preparedness</w:t>
        </w:r>
      </w:hyperlink>
      <w:r w:rsidRPr="006002DF"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Risk, Hazards &amp; Crisis in Public Policy. </w:t>
      </w:r>
    </w:p>
    <w:p w:rsidR="00FF4D64" w:rsidRDefault="00FF4D64" w:rsidP="00FF4D64">
      <w:pPr>
        <w:spacing w:after="0"/>
        <w:ind w:left="450" w:hanging="480"/>
        <w:rPr>
          <w:rFonts w:ascii="Garamond" w:hAnsi="Garamond"/>
          <w:i/>
          <w:sz w:val="24"/>
          <w:szCs w:val="24"/>
        </w:rPr>
      </w:pPr>
      <w:r w:rsidRPr="00C92D4D">
        <w:rPr>
          <w:rFonts w:ascii="Garamond" w:hAnsi="Garamond"/>
          <w:sz w:val="24"/>
          <w:szCs w:val="24"/>
        </w:rPr>
        <w:t>Stoll, Heather</w:t>
      </w:r>
      <w:r>
        <w:rPr>
          <w:rFonts w:ascii="Garamond" w:hAnsi="Garamond"/>
          <w:sz w:val="24"/>
          <w:szCs w:val="24"/>
        </w:rPr>
        <w:t>,</w:t>
      </w:r>
      <w:r w:rsidRPr="00C92D4D">
        <w:rPr>
          <w:rFonts w:ascii="Garamond" w:hAnsi="Garamond"/>
          <w:sz w:val="24"/>
          <w:szCs w:val="24"/>
        </w:rPr>
        <w:t xml:space="preserve"> Michele McLaughlin-Zamora, and Sarah E. Anderson</w:t>
      </w:r>
      <w:r>
        <w:rPr>
          <w:rFonts w:ascii="Garamond" w:hAnsi="Garamond"/>
          <w:sz w:val="24"/>
          <w:szCs w:val="24"/>
        </w:rPr>
        <w:t>. 2022. “</w:t>
      </w:r>
      <w:hyperlink r:id="rId12" w:history="1">
        <w:r w:rsidRPr="006002DF">
          <w:rPr>
            <w:rStyle w:val="Hyperlink"/>
            <w:rFonts w:ascii="Garamond" w:hAnsi="Garamond"/>
            <w:sz w:val="24"/>
            <w:szCs w:val="24"/>
          </w:rPr>
          <w:t>Concrete Diversity Initiatives in Political Science: A Faculty Workload Intervention Program</w:t>
        </w:r>
      </w:hyperlink>
      <w:r w:rsidRPr="00C92D4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”</w:t>
      </w:r>
      <w:r w:rsidRPr="00C92D4D">
        <w:rPr>
          <w:rFonts w:ascii="Garamond" w:hAnsi="Garamond"/>
          <w:sz w:val="24"/>
          <w:szCs w:val="24"/>
        </w:rPr>
        <w:t xml:space="preserve"> </w:t>
      </w:r>
      <w:r w:rsidRPr="00C92D4D">
        <w:rPr>
          <w:rFonts w:ascii="Garamond" w:hAnsi="Garamond"/>
          <w:i/>
          <w:sz w:val="24"/>
          <w:szCs w:val="24"/>
        </w:rPr>
        <w:t>PS: Political Science &amp; Politics</w:t>
      </w:r>
      <w:r>
        <w:rPr>
          <w:rFonts w:ascii="Garamond" w:hAnsi="Garamond"/>
          <w:i/>
          <w:sz w:val="24"/>
          <w:szCs w:val="24"/>
        </w:rPr>
        <w:t>.</w:t>
      </w:r>
    </w:p>
    <w:p w:rsidR="00FF4D64" w:rsidRPr="006002DF" w:rsidRDefault="00FF4D64" w:rsidP="00FF4D64">
      <w:pPr>
        <w:spacing w:after="0"/>
        <w:ind w:left="450" w:hanging="480"/>
        <w:rPr>
          <w:rFonts w:ascii="Garamond" w:hAnsi="Garamond"/>
          <w:sz w:val="24"/>
          <w:szCs w:val="24"/>
        </w:rPr>
      </w:pPr>
      <w:r w:rsidRPr="006002DF">
        <w:rPr>
          <w:rFonts w:ascii="Garamond" w:hAnsi="Garamond"/>
          <w:sz w:val="24"/>
          <w:szCs w:val="24"/>
        </w:rPr>
        <w:t xml:space="preserve">Anderson, Sarah E., Andrew J. Plantinga, and Matthew </w:t>
      </w:r>
      <w:proofErr w:type="spellStart"/>
      <w:r w:rsidRPr="006002DF">
        <w:rPr>
          <w:rFonts w:ascii="Garamond" w:hAnsi="Garamond"/>
          <w:sz w:val="24"/>
          <w:szCs w:val="24"/>
        </w:rPr>
        <w:t>Wibbenmeyer</w:t>
      </w:r>
      <w:proofErr w:type="spellEnd"/>
      <w:r w:rsidRPr="006002DF">
        <w:rPr>
          <w:rFonts w:ascii="Garamond" w:hAnsi="Garamond"/>
          <w:sz w:val="24"/>
          <w:szCs w:val="24"/>
        </w:rPr>
        <w:t>. 2022. “</w:t>
      </w:r>
      <w:hyperlink r:id="rId13" w:history="1">
        <w:r w:rsidRPr="006002DF">
          <w:rPr>
            <w:rStyle w:val="Hyperlink"/>
            <w:rFonts w:ascii="Garamond" w:hAnsi="Garamond"/>
            <w:sz w:val="24"/>
            <w:szCs w:val="24"/>
          </w:rPr>
          <w:t>Unequal Treatme</w:t>
        </w:r>
        <w:bookmarkStart w:id="2" w:name="_GoBack"/>
        <w:bookmarkEnd w:id="2"/>
        <w:r w:rsidRPr="006002DF">
          <w:rPr>
            <w:rStyle w:val="Hyperlink"/>
            <w:rFonts w:ascii="Garamond" w:hAnsi="Garamond"/>
            <w:sz w:val="24"/>
            <w:szCs w:val="24"/>
          </w:rPr>
          <w:t>nts: Federal Wildfire Fuels Projects and Socioeconomic Status of Nearby</w:t>
        </w:r>
        <w:r w:rsidRPr="006002DF">
          <w:rPr>
            <w:rStyle w:val="Hyperlink"/>
            <w:rFonts w:ascii="Garamond" w:hAnsi="Garamond"/>
            <w:sz w:val="24"/>
            <w:szCs w:val="24"/>
          </w:rPr>
          <w:t xml:space="preserve"> Communities</w:t>
        </w:r>
      </w:hyperlink>
      <w:r w:rsidRPr="006002DF">
        <w:rPr>
          <w:rFonts w:ascii="Garamond" w:hAnsi="Garamond"/>
          <w:sz w:val="24"/>
          <w:szCs w:val="24"/>
        </w:rPr>
        <w:t xml:space="preserve">.” </w:t>
      </w:r>
      <w:r w:rsidRPr="006002DF">
        <w:rPr>
          <w:rFonts w:ascii="Garamond" w:hAnsi="Garamond"/>
          <w:i/>
          <w:sz w:val="24"/>
          <w:szCs w:val="24"/>
        </w:rPr>
        <w:t>NBER Chapters.</w:t>
      </w:r>
    </w:p>
    <w:p w:rsidR="00CA20DA" w:rsidRPr="002347D9" w:rsidRDefault="00CA20DA" w:rsidP="002347D9">
      <w:pPr>
        <w:spacing w:after="0"/>
        <w:ind w:left="450" w:hanging="480"/>
        <w:rPr>
          <w:rFonts w:ascii="Garamond" w:hAnsi="Garamond"/>
          <w:sz w:val="24"/>
          <w:szCs w:val="24"/>
        </w:rPr>
      </w:pPr>
      <w:r w:rsidRPr="002347D9">
        <w:rPr>
          <w:rFonts w:ascii="Garamond" w:hAnsi="Garamond"/>
          <w:sz w:val="24"/>
          <w:szCs w:val="24"/>
        </w:rPr>
        <w:t>Anderson, Sarah E., Daniel M. Butler, Laurel Harbridge-Yong, and G. Agustin Markarian.</w:t>
      </w:r>
      <w:r w:rsidR="002347D9">
        <w:rPr>
          <w:rFonts w:ascii="Garamond" w:hAnsi="Garamond"/>
          <w:sz w:val="24"/>
          <w:szCs w:val="24"/>
        </w:rPr>
        <w:t xml:space="preserve"> 2021.</w:t>
      </w:r>
      <w:r w:rsidRPr="002347D9">
        <w:rPr>
          <w:rFonts w:ascii="Garamond" w:hAnsi="Garamond"/>
          <w:sz w:val="24"/>
          <w:szCs w:val="24"/>
        </w:rPr>
        <w:t xml:space="preserve"> “</w:t>
      </w:r>
      <w:hyperlink r:id="rId14" w:history="1">
        <w:r w:rsidRPr="002347D9">
          <w:rPr>
            <w:rStyle w:val="Hyperlink"/>
            <w:rFonts w:ascii="Garamond" w:hAnsi="Garamond"/>
            <w:sz w:val="24"/>
            <w:szCs w:val="24"/>
          </w:rPr>
          <w:t>Driving Legislators’ Policy Preferences: Constituent Commutes and Gas Taxes</w:t>
        </w:r>
      </w:hyperlink>
      <w:r w:rsidRPr="002347D9">
        <w:rPr>
          <w:rFonts w:ascii="Garamond" w:hAnsi="Garamond"/>
          <w:sz w:val="24"/>
          <w:szCs w:val="24"/>
        </w:rPr>
        <w:t xml:space="preserve">.” </w:t>
      </w:r>
      <w:r w:rsidRPr="002347D9">
        <w:rPr>
          <w:rFonts w:ascii="Garamond" w:hAnsi="Garamond"/>
          <w:i/>
          <w:iCs/>
          <w:sz w:val="24"/>
          <w:szCs w:val="24"/>
        </w:rPr>
        <w:t>Legislative Studies Quarterly</w:t>
      </w:r>
      <w:r w:rsidRPr="002347D9">
        <w:rPr>
          <w:rFonts w:ascii="Garamond" w:hAnsi="Garamond"/>
          <w:sz w:val="24"/>
          <w:szCs w:val="24"/>
        </w:rPr>
        <w:t>.</w:t>
      </w:r>
    </w:p>
    <w:p w:rsidR="008B26A6" w:rsidRDefault="008B26A6" w:rsidP="008B26A6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Ehret, Phillip J., Heather E. Hodges, Colin Kuehl, Cameron Brick, Sean Mueller, and Sarah E. Anderson.</w:t>
      </w:r>
      <w:r w:rsidRPr="005720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202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  <w:r w:rsidRPr="0057204C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15" w:history="1">
        <w:r w:rsidRPr="002347D9">
          <w:rPr>
            <w:rStyle w:val="Hyperlink"/>
            <w:rFonts w:ascii="Garamond" w:eastAsia="Times New Roman" w:hAnsi="Garamond" w:cs="Times New Roman"/>
            <w:sz w:val="24"/>
            <w:szCs w:val="24"/>
          </w:rPr>
          <w:t>Systematic Review of Household Water Conservation Interventions Using the Information–Motivation–Behavioral Skills Model</w:t>
        </w:r>
      </w:hyperlink>
      <w:r w:rsidRPr="005720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:” </w:t>
      </w:r>
      <w:r w:rsidRPr="0057204C">
        <w:rPr>
          <w:rFonts w:ascii="Garamond" w:eastAsia="Times New Roman" w:hAnsi="Garamond" w:cs="Times New Roman"/>
          <w:i/>
          <w:color w:val="000000"/>
          <w:sz w:val="24"/>
          <w:szCs w:val="24"/>
        </w:rPr>
        <w:t>Environment and Behavior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Pr="008B26A6">
        <w:rPr>
          <w:rFonts w:ascii="Garamond" w:eastAsia="Times New Roman" w:hAnsi="Garamond" w:cs="Times New Roman"/>
          <w:color w:val="000000"/>
          <w:sz w:val="24"/>
          <w:szCs w:val="24"/>
        </w:rPr>
        <w:t>53(5):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8B26A6">
        <w:rPr>
          <w:rFonts w:ascii="Garamond" w:eastAsia="Times New Roman" w:hAnsi="Garamond" w:cs="Times New Roman"/>
          <w:color w:val="000000"/>
          <w:sz w:val="24"/>
          <w:szCs w:val="24"/>
        </w:rPr>
        <w:t>485-519</w:t>
      </w:r>
      <w:r w:rsidRPr="0057204C"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  <w:r w:rsidRPr="0057204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6C08A5" w:rsidRDefault="006C08A5" w:rsidP="00D87CB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08A5">
        <w:rPr>
          <w:rFonts w:ascii="Garamond" w:eastAsia="Times New Roman" w:hAnsi="Garamond" w:cs="Times New Roman"/>
          <w:color w:val="000000"/>
          <w:sz w:val="24"/>
          <w:szCs w:val="24"/>
        </w:rPr>
        <w:t>Hodges, Heather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6C08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Colin Kuehl,</w:t>
      </w:r>
      <w:r w:rsidRPr="006C08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Sarah E. Anderson, Phillip J. Ehret, and Cameron Brick. </w:t>
      </w:r>
      <w:r w:rsidRPr="006C08A5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2020.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16" w:history="1">
        <w:r w:rsidRPr="002347D9">
          <w:rPr>
            <w:rStyle w:val="Hyperlink"/>
            <w:rFonts w:ascii="Garamond" w:eastAsia="Times New Roman" w:hAnsi="Garamond" w:cs="Times New Roman"/>
            <w:sz w:val="24"/>
            <w:szCs w:val="24"/>
          </w:rPr>
          <w:t>How Managers Can Reduce Household Water Use Through Communication: A Field Experiment</w:t>
        </w:r>
      </w:hyperlink>
      <w:r w:rsidRPr="006C08A5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="000F5414" w:rsidRPr="000F54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0F5414" w:rsidRPr="000F5414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Journal of Policy </w:t>
      </w:r>
      <w:r w:rsidR="000F5414" w:rsidRPr="000F5414">
        <w:rPr>
          <w:rFonts w:ascii="Garamond" w:eastAsia="Times New Roman" w:hAnsi="Garamond" w:cs="Times New Roman"/>
          <w:i/>
          <w:color w:val="000000"/>
          <w:sz w:val="24"/>
          <w:szCs w:val="24"/>
        </w:rPr>
        <w:lastRenderedPageBreak/>
        <w:t>Analysis and Management</w:t>
      </w:r>
      <w:r w:rsidR="000F5414" w:rsidRPr="000F541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39(4): 1076–99.</w:t>
      </w:r>
    </w:p>
    <w:p w:rsidR="00D87CB9" w:rsidRDefault="00D87CB9" w:rsidP="00D87CB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Forbes, Elizabeth S., Peter S. Alagona, Andrea J. Adams, Sarah E. Anderson, Kevin C. Brown, Jolie Colby, Scott D. Cooper, Sean M. Denny, Elizabeth H.T. Hiroyasu, Robert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Heilmayer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Bruce E. Kendall, Jennifer A. Martin, Molly Hardesty-Moore, Alexis M.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Mychaljliw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Brian P. Tyrrell, and </w:t>
      </w:r>
      <w:r w:rsidRPr="00D87CB9">
        <w:rPr>
          <w:rFonts w:ascii="Garamond" w:eastAsia="Times New Roman" w:hAnsi="Garamond" w:cs="Times New Roman"/>
          <w:color w:val="000000"/>
          <w:sz w:val="24"/>
          <w:szCs w:val="24"/>
        </w:rPr>
        <w:t>Zoë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S. Welch. </w:t>
      </w:r>
      <w:r w:rsidR="002347D9">
        <w:rPr>
          <w:rFonts w:ascii="Garamond" w:eastAsia="Times New Roman" w:hAnsi="Garamond" w:cs="Times New Roman"/>
          <w:color w:val="000000"/>
          <w:sz w:val="24"/>
          <w:szCs w:val="24"/>
        </w:rPr>
        <w:t>2020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17" w:history="1">
        <w:r w:rsidRPr="002347D9">
          <w:rPr>
            <w:rStyle w:val="Hyperlink"/>
            <w:rFonts w:ascii="Garamond" w:eastAsia="Times New Roman" w:hAnsi="Garamond" w:cs="Times New Roman"/>
            <w:sz w:val="24"/>
            <w:szCs w:val="24"/>
          </w:rPr>
          <w:t>Analogies for a No-Analog World: Tackling Uncertainties in Species Reintroductions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Pr="00D87CB9">
        <w:t xml:space="preserve"> </w:t>
      </w:r>
      <w:r w:rsidRPr="00D87CB9">
        <w:rPr>
          <w:rFonts w:ascii="Garamond" w:eastAsia="Times New Roman" w:hAnsi="Garamond" w:cs="Times New Roman"/>
          <w:i/>
          <w:color w:val="000000"/>
          <w:sz w:val="24"/>
          <w:szCs w:val="24"/>
        </w:rPr>
        <w:t>Trends in Ecology and Evolution</w:t>
      </w:r>
      <w:r w:rsidR="002347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35(7): 551-554</w:t>
      </w:r>
      <w:r w:rsidRPr="00D87CB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8E324B" w:rsidRDefault="0057204C" w:rsidP="008E324B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DeGolia</w:t>
      </w:r>
      <w:proofErr w:type="spellEnd"/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Alex H.,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lizabeth 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H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Hiroyasu,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arah 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Anderson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2019.</w:t>
      </w:r>
      <w:r w:rsidRPr="007145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18" w:history="1">
        <w:r w:rsidRPr="008B26A6">
          <w:rPr>
            <w:rStyle w:val="Hyperlink"/>
            <w:rFonts w:ascii="Garamond" w:eastAsia="Times New Roman" w:hAnsi="Garamond" w:cs="Times New Roman"/>
            <w:sz w:val="24"/>
            <w:szCs w:val="24"/>
          </w:rPr>
          <w:t>Economic losses or environmental gains? Framing effects on public support for environmental management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PLO</w:t>
      </w:r>
      <w:r w:rsidRPr="00714547">
        <w:rPr>
          <w:rFonts w:ascii="Garamond" w:eastAsia="Times New Roman" w:hAnsi="Garamond" w:cs="Times New Roman"/>
          <w:i/>
          <w:color w:val="000000"/>
          <w:sz w:val="24"/>
          <w:szCs w:val="24"/>
        </w:rPr>
        <w:t>S O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NE</w:t>
      </w:r>
      <w:r w:rsidR="008B26A6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8B26A6" w:rsidRPr="008B26A6">
        <w:rPr>
          <w:rFonts w:ascii="Garamond" w:eastAsia="Times New Roman" w:hAnsi="Garamond" w:cs="Times New Roman"/>
          <w:color w:val="000000"/>
          <w:sz w:val="24"/>
          <w:szCs w:val="24"/>
        </w:rPr>
        <w:t>14(7): e0220320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8E324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D20371" w:rsidRDefault="00D20371" w:rsidP="00D20371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Hiroyasu, Elizabeth H.R., </w:t>
      </w:r>
      <w:r w:rsidRPr="00D20371">
        <w:rPr>
          <w:rFonts w:ascii="Garamond" w:eastAsia="Times New Roman" w:hAnsi="Garamond" w:cs="Times New Roman"/>
          <w:color w:val="000000"/>
          <w:sz w:val="24"/>
          <w:szCs w:val="24"/>
        </w:rPr>
        <w:t>Christopher P. Miljanich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and Sarah E. Anderson. </w:t>
      </w:r>
      <w:r w:rsidR="00601429">
        <w:rPr>
          <w:rFonts w:ascii="Garamond" w:eastAsia="Times New Roman" w:hAnsi="Garamond" w:cs="Times New Roman"/>
          <w:color w:val="000000"/>
          <w:sz w:val="24"/>
          <w:szCs w:val="24"/>
        </w:rPr>
        <w:t>2019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19" w:history="1">
        <w:r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Drivers of Support: The Case of Species Reintroductions with an Ill-Informed Public.”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Human Dimensions of Wildlife</w:t>
      </w:r>
      <w:r w:rsidR="008B26A6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8B26A6" w:rsidRPr="008B26A6">
        <w:rPr>
          <w:rStyle w:val="volumeissue"/>
          <w:rFonts w:ascii="Garamond" w:hAnsi="Garamond"/>
        </w:rPr>
        <w:t>24</w:t>
      </w:r>
      <w:r w:rsidR="008B26A6">
        <w:rPr>
          <w:rStyle w:val="volumeissue"/>
          <w:rFonts w:ascii="Garamond" w:hAnsi="Garamond"/>
        </w:rPr>
        <w:t>(5):</w:t>
      </w:r>
      <w:r w:rsidR="008B26A6" w:rsidRPr="008B26A6">
        <w:rPr>
          <w:rFonts w:ascii="Garamond" w:hAnsi="Garamond"/>
        </w:rPr>
        <w:t xml:space="preserve"> </w:t>
      </w:r>
      <w:r w:rsidR="008B26A6" w:rsidRPr="008B26A6">
        <w:rPr>
          <w:rStyle w:val="pagerange"/>
          <w:rFonts w:ascii="Garamond" w:hAnsi="Garamond"/>
        </w:rPr>
        <w:t>401-417</w:t>
      </w:r>
      <w:r w:rsidRPr="008B26A6"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  <w:r w:rsidR="008E324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6C1477" w:rsidRPr="007D61BA" w:rsidRDefault="006C1477" w:rsidP="00FD11B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Mark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Buntaine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Mengdi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Liu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and Bing Zhang. </w:t>
      </w:r>
      <w:r w:rsidR="004C1871">
        <w:rPr>
          <w:rFonts w:ascii="Garamond" w:eastAsia="Times New Roman" w:hAnsi="Garamond" w:cs="Times New Roman"/>
          <w:color w:val="000000"/>
          <w:sz w:val="24"/>
          <w:szCs w:val="24"/>
        </w:rPr>
        <w:t>2019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0" w:history="1">
        <w:r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Non-Governmental Monitoring of Local Governments Increases Compliance with Central Mandates: A National-Scale Field Experiment in China</w:t>
        </w:r>
      </w:hyperlink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American Journal of Political Science</w:t>
      </w:r>
      <w:r w:rsidR="007D61B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7D61BA">
        <w:rPr>
          <w:rFonts w:ascii="Garamond" w:eastAsia="Times New Roman" w:hAnsi="Garamond" w:cs="Times New Roman"/>
          <w:color w:val="000000"/>
          <w:sz w:val="24"/>
          <w:szCs w:val="24"/>
        </w:rPr>
        <w:t>63(3): 626-643.</w:t>
      </w:r>
    </w:p>
    <w:p w:rsidR="006C1477" w:rsidRPr="00F7173E" w:rsidRDefault="006C1477" w:rsidP="006C147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Wibbenmeyer, Matthew, Sarah E. Anderson, and And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rew J. Plantinga. </w:t>
      </w:r>
      <w:r w:rsidR="004C1871">
        <w:rPr>
          <w:rFonts w:ascii="Garamond" w:eastAsia="Times New Roman" w:hAnsi="Garamond" w:cs="Times New Roman"/>
          <w:color w:val="000000"/>
          <w:sz w:val="24"/>
          <w:szCs w:val="24"/>
        </w:rPr>
        <w:t>2019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1" w:history="1">
        <w:r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Salience and the Govern</w:t>
        </w:r>
        <w:r w:rsidR="00A83F68"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ment Provision of Public Goods</w:t>
        </w:r>
      </w:hyperlink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3F4C69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Economic Inquiry</w:t>
      </w:r>
      <w:r w:rsidR="007D61B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57(3): 1547-1567.</w:t>
      </w:r>
    </w:p>
    <w:p w:rsidR="00EE7E68" w:rsidRPr="006C1477" w:rsidRDefault="00EE7E68" w:rsidP="006C147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Winner of the 2016 Paul A. Sabatier Best Conference Paper Award from the Science, Technology and Environmental Politics APSA Section</w:t>
      </w:r>
    </w:p>
    <w:p w:rsidR="006C1477" w:rsidRDefault="006C1477" w:rsidP="00B255EE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Robert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DeLeo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, and K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 xml:space="preserve">ristin O'Donovan. </w:t>
      </w:r>
      <w:r w:rsidR="004C1871">
        <w:rPr>
          <w:rFonts w:ascii="Garamond" w:eastAsia="Times New Roman" w:hAnsi="Garamond" w:cs="Times New Roman"/>
          <w:color w:val="000000"/>
          <w:sz w:val="24"/>
          <w:szCs w:val="24"/>
        </w:rPr>
        <w:t>2019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2" w:history="1">
        <w:r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Policy Entrepreneurs, Legislators, and Agenda Sett</w:t>
        </w:r>
        <w:r w:rsidR="00A83F68" w:rsidRPr="007D61BA">
          <w:rPr>
            <w:rStyle w:val="Hyperlink"/>
            <w:rFonts w:ascii="Garamond" w:eastAsia="Times New Roman" w:hAnsi="Garamond" w:cs="Times New Roman"/>
            <w:sz w:val="24"/>
            <w:szCs w:val="24"/>
          </w:rPr>
          <w:t>ing: Information and Influence</w:t>
        </w:r>
      </w:hyperlink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F84C9F">
        <w:rPr>
          <w:rFonts w:ascii="Garamond" w:eastAsia="Times New Roman" w:hAnsi="Garamond" w:cs="Times New Roman"/>
          <w:i/>
          <w:color w:val="000000"/>
          <w:sz w:val="24"/>
          <w:szCs w:val="24"/>
        </w:rPr>
        <w:t>Policy Studies Journal</w:t>
      </w:r>
      <w:r w:rsidR="007D61B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7D61BA">
        <w:rPr>
          <w:rFonts w:ascii="Garamond" w:eastAsia="Times New Roman" w:hAnsi="Garamond" w:cs="Times New Roman"/>
          <w:color w:val="000000"/>
          <w:sz w:val="24"/>
          <w:szCs w:val="24"/>
        </w:rPr>
        <w:t>48(3): 587-611</w:t>
      </w:r>
      <w:r w:rsidR="00F84C9F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. </w:t>
      </w:r>
    </w:p>
    <w:p w:rsidR="00757975" w:rsidRPr="00961110" w:rsidRDefault="00757975" w:rsidP="00F84C9F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Keller</w:t>
      </w:r>
      <w:r w:rsidRPr="00FD11B7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Edward, Chandler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Adamaitis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Paul Alessio, Sarah Anderson, Erica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Goto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Summer Gray, Larry </w:t>
      </w:r>
      <w:proofErr w:type="spellStart"/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>Gurrola</w:t>
      </w:r>
      <w:proofErr w:type="spellEnd"/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Kristin Morell. </w:t>
      </w:r>
      <w:r w:rsidR="004C1871" w:rsidRPr="00961110">
        <w:rPr>
          <w:rFonts w:ascii="Garamond" w:eastAsia="Times New Roman" w:hAnsi="Garamond" w:cs="Times New Roman"/>
          <w:color w:val="000000"/>
          <w:sz w:val="24"/>
          <w:szCs w:val="24"/>
        </w:rPr>
        <w:t>2019</w:t>
      </w:r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3" w:history="1">
        <w:r w:rsidRPr="00961110">
          <w:rPr>
            <w:rStyle w:val="Hyperlink"/>
            <w:rFonts w:ascii="Garamond" w:eastAsia="Times New Roman" w:hAnsi="Garamond" w:cs="Times New Roman"/>
            <w:sz w:val="24"/>
            <w:szCs w:val="24"/>
          </w:rPr>
          <w:t>Applications in Geomorphology</w:t>
        </w:r>
      </w:hyperlink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Pr="00961110">
        <w:rPr>
          <w:rFonts w:ascii="Garamond" w:eastAsia="Times New Roman" w:hAnsi="Garamond" w:cs="Times New Roman"/>
          <w:i/>
          <w:color w:val="000000"/>
          <w:sz w:val="24"/>
          <w:szCs w:val="24"/>
        </w:rPr>
        <w:t>Geomorphology</w:t>
      </w:r>
      <w:r w:rsidR="00961110"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366: </w:t>
      </w:r>
      <w:r w:rsidR="00961110" w:rsidRPr="00961110">
        <w:rPr>
          <w:rFonts w:ascii="Garamond" w:hAnsi="Garamond"/>
          <w:sz w:val="24"/>
          <w:szCs w:val="24"/>
        </w:rPr>
        <w:t>106729</w:t>
      </w:r>
      <w:r w:rsidRPr="00961110"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  <w:r w:rsidR="00F84C9F"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bookmarkEnd w:id="1"/>
    <w:p w:rsidR="006C1477" w:rsidRPr="004538A6" w:rsidRDefault="006C1477" w:rsidP="00B255EE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Terry L. Anderson, Alice C. Hill, Matthew E. Kahn, Howard </w:t>
      </w:r>
      <w:proofErr w:type="spellStart"/>
      <w:r w:rsidRPr="00961110">
        <w:rPr>
          <w:rFonts w:ascii="Garamond" w:eastAsia="Times New Roman" w:hAnsi="Garamond" w:cs="Times New Roman"/>
          <w:color w:val="000000"/>
          <w:sz w:val="24"/>
          <w:szCs w:val="24"/>
        </w:rPr>
        <w:t>Kunreuther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Gary D.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Libecap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Hahri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Mantripragada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Pierre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Mérel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, Andrew J. Pla</w:t>
      </w:r>
      <w:r w:rsidR="003644E1">
        <w:rPr>
          <w:rFonts w:ascii="Garamond" w:eastAsia="Times New Roman" w:hAnsi="Garamond" w:cs="Times New Roman"/>
          <w:color w:val="000000"/>
          <w:sz w:val="24"/>
          <w:szCs w:val="24"/>
        </w:rPr>
        <w:t>ntinga, and Kerry Smith. 2019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4" w:history="1">
        <w:r w:rsidRPr="004538A6">
          <w:rPr>
            <w:rStyle w:val="Hyperlink"/>
            <w:rFonts w:ascii="Garamond" w:eastAsia="Times New Roman" w:hAnsi="Garamond" w:cs="Times New Roman"/>
            <w:sz w:val="24"/>
            <w:szCs w:val="24"/>
          </w:rPr>
          <w:t>The Critical Role of Market</w:t>
        </w:r>
        <w:r w:rsidR="00A83F68" w:rsidRPr="004538A6">
          <w:rPr>
            <w:rStyle w:val="Hyperlink"/>
            <w:rFonts w:ascii="Garamond" w:eastAsia="Times New Roman" w:hAnsi="Garamond" w:cs="Times New Roman"/>
            <w:sz w:val="24"/>
            <w:szCs w:val="24"/>
          </w:rPr>
          <w:t>s in Climate Change Adaptation</w:t>
        </w:r>
      </w:hyperlink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Climate Change Economics</w:t>
      </w:r>
      <w:r w:rsidR="004538A6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4538A6">
        <w:rPr>
          <w:rFonts w:ascii="Garamond" w:eastAsia="Times New Roman" w:hAnsi="Garamond" w:cs="Times New Roman"/>
          <w:color w:val="000000"/>
          <w:sz w:val="24"/>
          <w:szCs w:val="24"/>
        </w:rPr>
        <w:t>10(1): 1950003.</w:t>
      </w:r>
    </w:p>
    <w:p w:rsidR="00AE7A60" w:rsidRPr="00B767BC" w:rsidRDefault="00AE7A60" w:rsidP="00907A4A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Ryan R. Bart, Maureen C. Kennedy, Andrew J. MacDonald, Max A. Moritz, Andrew J. Plantinga, Christina L. Tague, and Matthew Wibbenmeyer. </w:t>
      </w:r>
      <w:r w:rsidR="00B767BC">
        <w:rPr>
          <w:rFonts w:ascii="Garamond" w:eastAsia="Times New Roman" w:hAnsi="Garamond" w:cs="Times New Roman"/>
          <w:color w:val="000000"/>
          <w:sz w:val="24"/>
          <w:szCs w:val="24"/>
        </w:rPr>
        <w:t>2018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“</w:t>
      </w:r>
      <w:hyperlink r:id="rId25" w:history="1">
        <w:r w:rsidRPr="001D1784">
          <w:rPr>
            <w:rStyle w:val="Hyperlink"/>
            <w:rFonts w:ascii="Garamond" w:eastAsia="Times New Roman" w:hAnsi="Garamond" w:cs="Times New Roman"/>
            <w:sz w:val="24"/>
            <w:szCs w:val="24"/>
          </w:rPr>
          <w:t>The Dangers of Disaster-Driven Responses to Climate Change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="00245F32">
        <w:rPr>
          <w:rFonts w:ascii="Garamond" w:eastAsia="Times New Roman" w:hAnsi="Garamond" w:cs="Times New Roman"/>
          <w:i/>
          <w:color w:val="000000"/>
          <w:sz w:val="24"/>
          <w:szCs w:val="24"/>
        </w:rPr>
        <w:t>Nature Climate Change</w:t>
      </w:r>
      <w:r w:rsidR="00245F3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8(6): 651.</w:t>
      </w:r>
    </w:p>
    <w:p w:rsidR="00907A4A" w:rsidRPr="00907A4A" w:rsidRDefault="00907A4A" w:rsidP="00907A4A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>Palazzo, Joseph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Owen R. Liu, Timbo Stillinger, Runsheng Song, Ying Wang, Elizabeth Hiroyasu, Jose </w:t>
      </w:r>
      <w:proofErr w:type="spellStart"/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>Zentano</w:t>
      </w:r>
      <w:proofErr w:type="spellEnd"/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>, Sar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ah E. Anderson, Christina Tague. 2017.</w:t>
      </w:r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26" w:history="1">
        <w:r w:rsidRPr="001D1784">
          <w:rPr>
            <w:rStyle w:val="Hyperlink"/>
            <w:rFonts w:ascii="Garamond" w:eastAsia="Times New Roman" w:hAnsi="Garamond" w:cs="Times New Roman"/>
            <w:sz w:val="24"/>
            <w:szCs w:val="24"/>
          </w:rPr>
          <w:t>Urban Responses to Restrictive Conservation Policy During Drought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Water Resources Research</w:t>
      </w:r>
      <w:r w:rsidR="00245F3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53(5): 4459-</w:t>
      </w:r>
      <w:r w:rsidR="00245F32" w:rsidRPr="00245F32">
        <w:rPr>
          <w:rFonts w:ascii="Garamond" w:eastAsia="Times New Roman" w:hAnsi="Garamond" w:cs="Times New Roman"/>
          <w:color w:val="000000"/>
          <w:sz w:val="24"/>
          <w:szCs w:val="24"/>
        </w:rPr>
        <w:t>4475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82769C" w:rsidRDefault="00A9439A" w:rsidP="0082769C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>Aceves-Bueno, E., Adeleye, A. S., Feraud, M., Huang, Y., Tao, M.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Yang, Y. and Anderson, S. E. </w:t>
      </w:r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>2017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83F68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27" w:history="1">
        <w:r w:rsidRPr="001D1784">
          <w:rPr>
            <w:rStyle w:val="Hyperlink"/>
            <w:rFonts w:ascii="Garamond" w:eastAsia="Times New Roman" w:hAnsi="Garamond" w:cs="Times New Roman"/>
            <w:sz w:val="24"/>
            <w:szCs w:val="24"/>
          </w:rPr>
          <w:t>The Accuracy of Citizen Science Data: A Quantitative Review</w:t>
        </w:r>
      </w:hyperlink>
      <w:r w:rsidR="001D1784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bookmarkStart w:id="3" w:name="_Hlk93850374"/>
      <w:r w:rsidRPr="00A9439A">
        <w:rPr>
          <w:rFonts w:ascii="Garamond" w:eastAsia="Times New Roman" w:hAnsi="Garamond" w:cs="Times New Roman"/>
          <w:i/>
          <w:color w:val="000000"/>
          <w:sz w:val="24"/>
          <w:szCs w:val="24"/>
        </w:rPr>
        <w:t>Bull</w:t>
      </w:r>
      <w:r w:rsidR="004C1871">
        <w:rPr>
          <w:rFonts w:ascii="Garamond" w:eastAsia="Times New Roman" w:hAnsi="Garamond" w:cs="Times New Roman"/>
          <w:i/>
          <w:color w:val="000000"/>
          <w:sz w:val="24"/>
          <w:szCs w:val="24"/>
        </w:rPr>
        <w:t>etin of the</w:t>
      </w:r>
      <w:r w:rsidRPr="00A9439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Ecol</w:t>
      </w:r>
      <w:r w:rsidR="004C1871">
        <w:rPr>
          <w:rFonts w:ascii="Garamond" w:eastAsia="Times New Roman" w:hAnsi="Garamond" w:cs="Times New Roman"/>
          <w:i/>
          <w:color w:val="000000"/>
          <w:sz w:val="24"/>
          <w:szCs w:val="24"/>
        </w:rPr>
        <w:t>ogical</w:t>
      </w:r>
      <w:r w:rsidRPr="00A9439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Soc</w:t>
      </w:r>
      <w:r w:rsidR="004C1871">
        <w:rPr>
          <w:rFonts w:ascii="Garamond" w:eastAsia="Times New Roman" w:hAnsi="Garamond" w:cs="Times New Roman"/>
          <w:i/>
          <w:color w:val="000000"/>
          <w:sz w:val="24"/>
          <w:szCs w:val="24"/>
        </w:rPr>
        <w:t>iety of</w:t>
      </w:r>
      <w:r w:rsidRPr="00A9439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Am</w:t>
      </w:r>
      <w:r w:rsidR="004C1871">
        <w:rPr>
          <w:rFonts w:ascii="Garamond" w:eastAsia="Times New Roman" w:hAnsi="Garamond" w:cs="Times New Roman"/>
          <w:i/>
          <w:color w:val="000000"/>
          <w:sz w:val="24"/>
          <w:szCs w:val="24"/>
        </w:rPr>
        <w:t>erica</w:t>
      </w:r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bookmarkEnd w:id="3"/>
      <w:r w:rsidRPr="00A9439A">
        <w:rPr>
          <w:rFonts w:ascii="Garamond" w:eastAsia="Times New Roman" w:hAnsi="Garamond" w:cs="Times New Roman"/>
          <w:color w:val="000000"/>
          <w:sz w:val="24"/>
          <w:szCs w:val="24"/>
        </w:rPr>
        <w:t>98: 278–290.</w:t>
      </w:r>
    </w:p>
    <w:p w:rsidR="00907A4A" w:rsidRDefault="00907A4A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Anderson, Sarah E. and Matthew Potoski. 2016. “</w:t>
      </w:r>
      <w:hyperlink r:id="rId28" w:history="1">
        <w:r w:rsidRPr="001D1784">
          <w:rPr>
            <w:rStyle w:val="Hyperlink"/>
            <w:rFonts w:ascii="Garamond" w:eastAsia="Times New Roman" w:hAnsi="Garamond" w:cs="Times New Roman"/>
            <w:sz w:val="24"/>
            <w:szCs w:val="24"/>
          </w:rPr>
          <w:t>Agency Structure and the Distribution of Federal Spending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907A4A">
        <w:rPr>
          <w:rFonts w:ascii="Garamond" w:eastAsia="Times New Roman" w:hAnsi="Garamond" w:cs="Times New Roman"/>
          <w:i/>
          <w:color w:val="000000"/>
          <w:sz w:val="24"/>
          <w:szCs w:val="24"/>
        </w:rPr>
        <w:t>Journal of Public Administration Research and Theory</w:t>
      </w:r>
      <w:r w:rsidRPr="00907A4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26(3): 461-74. </w:t>
      </w:r>
    </w:p>
    <w:p w:rsidR="008F55AB" w:rsidRDefault="008F55AB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Daniel Butler, and Laurel Harbridge. </w:t>
      </w:r>
      <w:r w:rsidR="004C0D69">
        <w:rPr>
          <w:rFonts w:ascii="Garamond" w:eastAsia="Times New Roman" w:hAnsi="Garamond" w:cs="Times New Roman"/>
          <w:color w:val="000000"/>
          <w:sz w:val="24"/>
          <w:szCs w:val="24"/>
        </w:rPr>
        <w:t>2016</w:t>
      </w:r>
      <w:r w:rsidR="005C4CA4" w:rsidRPr="008F55AB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907A4A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29" w:history="1">
        <w:r w:rsidRPr="001D1784">
          <w:rPr>
            <w:rStyle w:val="Hyperlink"/>
            <w:rFonts w:ascii="Garamond" w:eastAsia="Times New Roman" w:hAnsi="Garamond" w:cs="Times New Roman"/>
            <w:sz w:val="24"/>
            <w:szCs w:val="24"/>
          </w:rPr>
          <w:t>Legislative Institutions as a Source of Party Leaders' Influence</w:t>
        </w:r>
      </w:hyperlink>
      <w:r w:rsidRPr="008F55A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907A4A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 w:rsidRPr="008F55A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8F55AB">
        <w:rPr>
          <w:rFonts w:ascii="Garamond" w:eastAsia="Times New Roman" w:hAnsi="Garamond" w:cs="Times New Roman"/>
          <w:i/>
          <w:color w:val="000000"/>
          <w:sz w:val="24"/>
          <w:szCs w:val="24"/>
        </w:rPr>
        <w:t>Legislative Studies Quarterly</w:t>
      </w:r>
      <w:r w:rsidR="004C0D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4C0D69" w:rsidRPr="004C0D69">
        <w:rPr>
          <w:rFonts w:ascii="Garamond" w:eastAsia="Times New Roman" w:hAnsi="Garamond" w:cs="Times New Roman"/>
          <w:color w:val="000000"/>
          <w:sz w:val="24"/>
          <w:szCs w:val="24"/>
        </w:rPr>
        <w:t>41(3): 605–31</w:t>
      </w:r>
      <w:r w:rsidRPr="008F55A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282728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083F5D" w:rsidRDefault="00106BE9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Aceves, E., </w:t>
      </w:r>
      <w:r w:rsidRPr="00106B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Adeyemi Adeleye, Darcy Bradley, William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Brandt</w:t>
      </w:r>
      <w:r w:rsidRPr="00106BE9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106B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Patrick Callery, Marina Feraud, Kendra Garner, Rebecca Gentry, Yuxiong Huang, Ian McCullough, Isaac Pearlman, Sara Sutherland, Whitney Wilkinson, Yi Yang, Trevor Zink, Sarah Anderson,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C</w:t>
      </w:r>
      <w:r w:rsidRPr="00106BE9">
        <w:rPr>
          <w:rFonts w:ascii="Garamond" w:eastAsia="Times New Roman" w:hAnsi="Garamond" w:cs="Times New Roman"/>
          <w:color w:val="000000"/>
          <w:sz w:val="24"/>
          <w:szCs w:val="24"/>
        </w:rPr>
        <w:t>hristina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Tague</w:t>
      </w:r>
      <w:r w:rsidRPr="00106BE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5C3CBA" w:rsidRPr="005C3CBA">
        <w:rPr>
          <w:rFonts w:ascii="Garamond" w:eastAsia="Times New Roman" w:hAnsi="Garamond" w:cs="Times New Roman"/>
          <w:color w:val="000000"/>
          <w:sz w:val="24"/>
          <w:szCs w:val="24"/>
        </w:rPr>
        <w:t>2015. “</w:t>
      </w:r>
      <w:hyperlink r:id="rId30" w:history="1">
        <w:r w:rsidR="005C3CBA" w:rsidRPr="00994B11">
          <w:rPr>
            <w:rStyle w:val="Hyperlink"/>
            <w:rFonts w:ascii="Garamond" w:eastAsia="Times New Roman" w:hAnsi="Garamond" w:cs="Times New Roman"/>
            <w:sz w:val="24"/>
            <w:szCs w:val="24"/>
          </w:rPr>
          <w:t>Citizen Science as an Approach for Overcoming Insufficient Monitoring and Inadequate Stakeholder Buy-in in Adaptive Management: Criteria and Evidence</w:t>
        </w:r>
      </w:hyperlink>
      <w:r w:rsidR="005C3CBA" w:rsidRPr="005C3CBA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="005C3CBA" w:rsidRPr="005C3CBA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Ecosystems </w:t>
      </w:r>
      <w:r w:rsidR="005C3CBA" w:rsidRPr="005C3CBA">
        <w:rPr>
          <w:rFonts w:ascii="Garamond" w:eastAsia="Times New Roman" w:hAnsi="Garamond" w:cs="Times New Roman"/>
          <w:color w:val="000000"/>
          <w:sz w:val="24"/>
          <w:szCs w:val="24"/>
        </w:rPr>
        <w:t>18(3): 493–506.</w:t>
      </w:r>
      <w:r w:rsidR="005C3CB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915527" w:rsidRPr="00356B69" w:rsidRDefault="00915527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and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Laurel Harbridge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2014.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31" w:history="1">
        <w:r w:rsidRPr="00083F5D">
          <w:rPr>
            <w:rStyle w:val="Hyperlink"/>
            <w:rFonts w:ascii="Garamond" w:eastAsia="Times New Roman" w:hAnsi="Garamond" w:cs="Times New Roman"/>
            <w:sz w:val="24"/>
            <w:szCs w:val="24"/>
          </w:rPr>
          <w:t>The Policy Consequences of Motivated Information Processing among the Partisan Elite.</w:t>
        </w:r>
      </w:hyperlink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>American Politics Research</w:t>
      </w:r>
      <w:r w:rsidR="00245F32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="00245F32">
        <w:rPr>
          <w:rFonts w:ascii="Garamond" w:eastAsia="Times New Roman" w:hAnsi="Garamond" w:cs="Times New Roman"/>
          <w:color w:val="000000"/>
          <w:sz w:val="24"/>
          <w:szCs w:val="24"/>
        </w:rPr>
        <w:t>42(4):</w:t>
      </w:r>
      <w:r w:rsidR="00245F32" w:rsidRPr="00245F3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700-728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915527" w:rsidRDefault="00915527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and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Jonathan Woon.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2014.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</w:t>
      </w:r>
      <w:hyperlink r:id="rId32" w:history="1">
        <w:r w:rsidRPr="00994B11">
          <w:rPr>
            <w:rStyle w:val="Hyperlink"/>
            <w:rFonts w:ascii="Garamond" w:eastAsia="Times New Roman" w:hAnsi="Garamond" w:cs="Times New Roman"/>
            <w:sz w:val="24"/>
            <w:szCs w:val="24"/>
          </w:rPr>
          <w:t>Delaying the Buck: Timing and Strategic Advantages in Executive-Legislative Bargaining over Appropriations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 </w:t>
      </w:r>
      <w:r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>Congress and the Presidency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41(1) 25-48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994B11" w:rsidRDefault="00915527" w:rsidP="00915527">
      <w:pPr>
        <w:pStyle w:val="Body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 w:cs="Arial"/>
        </w:rPr>
      </w:pPr>
      <w:r w:rsidRPr="00915527">
        <w:rPr>
          <w:rFonts w:ascii="Garamond" w:hAnsi="Garamond" w:cs="Arial"/>
        </w:rPr>
        <w:t xml:space="preserve">Doerpinghaus, </w:t>
      </w:r>
      <w:r>
        <w:rPr>
          <w:rFonts w:ascii="Garamond" w:hAnsi="Garamond" w:cs="Arial"/>
        </w:rPr>
        <w:t xml:space="preserve">J., K. </w:t>
      </w:r>
      <w:r w:rsidRPr="00915527">
        <w:rPr>
          <w:rFonts w:ascii="Garamond" w:hAnsi="Garamond" w:cs="Arial"/>
        </w:rPr>
        <w:t>Hentrich,</w:t>
      </w:r>
      <w:r>
        <w:rPr>
          <w:rFonts w:ascii="Garamond" w:hAnsi="Garamond" w:cs="Arial"/>
        </w:rPr>
        <w:t xml:space="preserve"> M. </w:t>
      </w:r>
      <w:r w:rsidRPr="00915527">
        <w:rPr>
          <w:rFonts w:ascii="Garamond" w:hAnsi="Garamond" w:cs="Arial"/>
        </w:rPr>
        <w:t xml:space="preserve">Troup, </w:t>
      </w:r>
      <w:r>
        <w:rPr>
          <w:rFonts w:ascii="Garamond" w:hAnsi="Garamond" w:cs="Arial"/>
        </w:rPr>
        <w:t xml:space="preserve">A. </w:t>
      </w:r>
      <w:r w:rsidRPr="00915527">
        <w:rPr>
          <w:rFonts w:ascii="Garamond" w:hAnsi="Garamond" w:cs="Arial"/>
        </w:rPr>
        <w:t>Stavrinaky</w:t>
      </w:r>
      <w:r>
        <w:rPr>
          <w:rFonts w:ascii="Garamond" w:hAnsi="Garamond" w:cs="Arial"/>
        </w:rPr>
        <w:t>, and S. Anderson</w:t>
      </w:r>
      <w:r w:rsidRPr="00915527">
        <w:rPr>
          <w:rFonts w:ascii="Garamond" w:hAnsi="Garamond" w:cs="Arial"/>
        </w:rPr>
        <w:t xml:space="preserve">. 2014. </w:t>
      </w:r>
      <w:r w:rsidR="00A83F68">
        <w:rPr>
          <w:rFonts w:ascii="Garamond" w:hAnsi="Garamond" w:cs="Arial"/>
        </w:rPr>
        <w:t>“</w:t>
      </w:r>
      <w:hyperlink r:id="rId33" w:history="1">
        <w:r w:rsidRPr="00994B11">
          <w:rPr>
            <w:rStyle w:val="Hyperlink"/>
            <w:rFonts w:ascii="Garamond" w:hAnsi="Garamond" w:cs="Arial"/>
          </w:rPr>
          <w:t>An Assessment of Sector Separation on the Gulf of Mexico Recreational Red Snapper Fishery</w:t>
        </w:r>
      </w:hyperlink>
      <w:r>
        <w:rPr>
          <w:rFonts w:ascii="Garamond" w:hAnsi="Garamond" w:cs="Arial"/>
        </w:rPr>
        <w:t>.</w:t>
      </w:r>
      <w:r w:rsidR="00A83F68">
        <w:rPr>
          <w:rFonts w:ascii="Garamond" w:hAnsi="Garamond" w:cs="Arial"/>
        </w:rPr>
        <w:t>”</w:t>
      </w:r>
      <w:r>
        <w:rPr>
          <w:rFonts w:ascii="Garamond" w:hAnsi="Garamond" w:cs="Arial"/>
        </w:rPr>
        <w:t xml:space="preserve"> </w:t>
      </w:r>
      <w:r w:rsidRPr="00915527">
        <w:rPr>
          <w:rFonts w:ascii="Garamond" w:hAnsi="Garamond" w:cs="Arial"/>
          <w:i/>
        </w:rPr>
        <w:t>Marine Policy</w:t>
      </w:r>
      <w:r>
        <w:rPr>
          <w:rFonts w:ascii="Garamond" w:hAnsi="Garamond" w:cs="Arial"/>
          <w:i/>
        </w:rPr>
        <w:t xml:space="preserve"> </w:t>
      </w:r>
      <w:r w:rsidRPr="00915527">
        <w:rPr>
          <w:rFonts w:ascii="Garamond" w:hAnsi="Garamond" w:cs="Arial"/>
        </w:rPr>
        <w:t>50(A): 309-317.</w:t>
      </w:r>
    </w:p>
    <w:p w:rsidR="00902610" w:rsidRPr="00A93F47" w:rsidRDefault="00A93F47" w:rsidP="00915527">
      <w:pPr>
        <w:pStyle w:val="Body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 w:cs="Arial"/>
        </w:rPr>
      </w:pPr>
      <w:r w:rsidRPr="00A93F47">
        <w:rPr>
          <w:rFonts w:ascii="Garamond" w:hAnsi="Garamond" w:cs="Arial"/>
        </w:rPr>
        <w:t xml:space="preserve">Gavankar, Sheetal, Sarah E. Anderson, and Arturo Keller. </w:t>
      </w:r>
      <w:r w:rsidR="00915527">
        <w:rPr>
          <w:rFonts w:ascii="Garamond" w:hAnsi="Garamond" w:cs="Arial"/>
        </w:rPr>
        <w:t>2014</w:t>
      </w:r>
      <w:r w:rsidRPr="00A93F47">
        <w:rPr>
          <w:rFonts w:ascii="Garamond" w:hAnsi="Garamond" w:cs="Arial"/>
        </w:rPr>
        <w:t xml:space="preserve">. </w:t>
      </w:r>
      <w:r w:rsidR="00A83F68">
        <w:rPr>
          <w:rFonts w:ascii="Garamond" w:hAnsi="Garamond" w:cs="Arial"/>
        </w:rPr>
        <w:t>“</w:t>
      </w:r>
      <w:hyperlink r:id="rId34" w:history="1">
        <w:r w:rsidRPr="009B2863">
          <w:rPr>
            <w:rStyle w:val="Hyperlink"/>
            <w:rFonts w:ascii="Garamond" w:hAnsi="Garamond" w:cs="Arial"/>
          </w:rPr>
          <w:t>Critical components of uncertainty communication in life cycle assessments of emerging technologies: Nanotechnology as a case study</w:t>
        </w:r>
      </w:hyperlink>
      <w:r w:rsidRPr="00A93F47">
        <w:rPr>
          <w:rFonts w:ascii="Garamond" w:hAnsi="Garamond" w:cs="Arial"/>
        </w:rPr>
        <w:t>.</w:t>
      </w:r>
      <w:r w:rsidR="00A83F68">
        <w:rPr>
          <w:rFonts w:ascii="Garamond" w:hAnsi="Garamond" w:cs="Arial"/>
        </w:rPr>
        <w:t>”</w:t>
      </w:r>
      <w:r w:rsidRPr="00A93F47">
        <w:rPr>
          <w:rFonts w:ascii="Garamond" w:hAnsi="Garamond" w:cs="Arial"/>
        </w:rPr>
        <w:t xml:space="preserve"> </w:t>
      </w:r>
      <w:r w:rsidRPr="00A93F47">
        <w:rPr>
          <w:rFonts w:ascii="Garamond" w:hAnsi="Garamond" w:cs="Arial"/>
          <w:i/>
        </w:rPr>
        <w:t>Journal of Industrial Ecology</w:t>
      </w:r>
      <w:r w:rsidR="00245F32" w:rsidRPr="00245F32">
        <w:t xml:space="preserve"> </w:t>
      </w:r>
      <w:r w:rsidR="00245F32">
        <w:rPr>
          <w:rFonts w:ascii="Garamond" w:hAnsi="Garamond" w:cs="Arial"/>
        </w:rPr>
        <w:t>19(3):</w:t>
      </w:r>
      <w:r w:rsidR="00245F32" w:rsidRPr="00245F32">
        <w:rPr>
          <w:rFonts w:ascii="Garamond" w:hAnsi="Garamond" w:cs="Arial"/>
        </w:rPr>
        <w:t xml:space="preserve"> 468-479</w:t>
      </w:r>
      <w:r w:rsidR="00915527">
        <w:rPr>
          <w:rFonts w:ascii="Garamond" w:hAnsi="Garamond" w:cs="Arial"/>
        </w:rPr>
        <w:t>.</w:t>
      </w:r>
      <w:r w:rsidR="00915527" w:rsidRPr="00915527">
        <w:t xml:space="preserve"> </w:t>
      </w:r>
    </w:p>
    <w:p w:rsidR="00915527" w:rsidRPr="00915527" w:rsidRDefault="00915527" w:rsidP="00915527">
      <w:pPr>
        <w:pStyle w:val="Body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Garamond" w:hAnsi="Garamond" w:cs="Arial"/>
          <w:i/>
        </w:rPr>
      </w:pPr>
      <w:r>
        <w:rPr>
          <w:rFonts w:ascii="Garamond" w:hAnsi="Garamond" w:cs="Arial"/>
        </w:rPr>
        <w:lastRenderedPageBreak/>
        <w:t>Sainz-Santamaria, Jaim</w:t>
      </w:r>
      <w:r w:rsidR="00A83F68">
        <w:rPr>
          <w:rFonts w:ascii="Garamond" w:hAnsi="Garamond" w:cs="Arial"/>
        </w:rPr>
        <w:t>e and Sarah E. Anderson. 2013. “</w:t>
      </w:r>
      <w:hyperlink r:id="rId35" w:history="1">
        <w:r w:rsidRPr="00CE4CAF">
          <w:rPr>
            <w:rStyle w:val="Hyperlink"/>
            <w:rFonts w:ascii="Garamond" w:hAnsi="Garamond" w:cs="Arial"/>
          </w:rPr>
          <w:t>The Electoral Pol</w:t>
        </w:r>
        <w:r w:rsidR="00A83F68" w:rsidRPr="00CE4CAF">
          <w:rPr>
            <w:rStyle w:val="Hyperlink"/>
            <w:rFonts w:ascii="Garamond" w:hAnsi="Garamond" w:cs="Arial"/>
          </w:rPr>
          <w:t>itics of Disaster Preparedness</w:t>
        </w:r>
      </w:hyperlink>
      <w:r w:rsidR="00A83F68">
        <w:rPr>
          <w:rFonts w:ascii="Garamond" w:hAnsi="Garamond" w:cs="Arial"/>
        </w:rPr>
        <w:t>.”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Risks, Hazards, and Crises in Public Policy </w:t>
      </w:r>
      <w:r w:rsidRPr="00915527">
        <w:rPr>
          <w:rFonts w:ascii="Garamond" w:hAnsi="Garamond" w:cs="Arial"/>
        </w:rPr>
        <w:t xml:space="preserve">4(4): 234-249. </w:t>
      </w:r>
    </w:p>
    <w:p w:rsidR="00915527" w:rsidRPr="00C63823" w:rsidRDefault="00915527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E.,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Heather Hodges and Terry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L.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Anderson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2013.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</w:t>
      </w:r>
      <w:hyperlink r:id="rId36" w:history="1">
        <w:r w:rsidRPr="00CE4CAF">
          <w:rPr>
            <w:rStyle w:val="Hyperlink"/>
            <w:rFonts w:ascii="Garamond" w:eastAsia="Times New Roman" w:hAnsi="Garamond" w:cs="Times New Roman"/>
            <w:sz w:val="24"/>
            <w:szCs w:val="24"/>
          </w:rPr>
          <w:t>Technical Management in an Age of Openness: The Political, Public, and Environmental Forest Ranger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>Journal of Policy Analysis and Management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32(3): 554-573</w:t>
      </w:r>
      <w:r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>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147B2" w:rsidRDefault="003147B2" w:rsidP="003147B2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147B2">
        <w:rPr>
          <w:rFonts w:ascii="Garamond" w:eastAsia="Times New Roman" w:hAnsi="Garamond" w:cs="Times New Roman"/>
          <w:color w:val="000000"/>
          <w:sz w:val="24"/>
          <w:szCs w:val="24"/>
        </w:rPr>
        <w:t>Carden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3147B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Kristin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3147B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Crow White, Steve Gaines, Chris Costello, Sarah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Anderson.</w:t>
      </w:r>
      <w:r w:rsidR="00F05B8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2013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147B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37" w:history="1">
        <w:r w:rsidRPr="00CE4CAF">
          <w:rPr>
            <w:rStyle w:val="Hyperlink"/>
            <w:rFonts w:ascii="Garamond" w:eastAsia="Times New Roman" w:hAnsi="Garamond" w:cs="Times New Roman"/>
            <w:sz w:val="24"/>
            <w:szCs w:val="24"/>
          </w:rPr>
          <w:t>Ecosystem Service Tradeoff Analysis: Quantifying the Cost of a Legal Regime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Pr="003147B2">
        <w:rPr>
          <w:rFonts w:ascii="Garamond" w:eastAsia="Times New Roman" w:hAnsi="Garamond" w:cs="Times New Roman"/>
          <w:i/>
          <w:color w:val="000000"/>
          <w:sz w:val="24"/>
          <w:szCs w:val="24"/>
        </w:rPr>
        <w:t>Arizona Journal of Environmental Law &amp; Policy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147B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8050BF" w:rsidRDefault="008050BF" w:rsidP="008050BF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Chen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Xiaoli</w:t>
      </w:r>
      <w:proofErr w:type="spellEnd"/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, Nathan Emery, Elizabeth S</w:t>
      </w:r>
      <w:r w:rsidR="00F54EB2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Garcia, Erin J. Hanan, Heather Hodges, </w:t>
      </w:r>
      <w:proofErr w:type="spellStart"/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Tyronne</w:t>
      </w:r>
      <w:proofErr w:type="spellEnd"/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Martin, Matthew A. Meyers, Lindsey E. Peavey, Hui Peng, Jaime Sainz, Kellie A. Uyeda,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Sarah E. Anderson,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Christina Tague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50807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2013.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38" w:history="1">
        <w:r w:rsidRPr="00CE4CAF">
          <w:rPr>
            <w:rStyle w:val="Hyperlink"/>
            <w:rFonts w:ascii="Garamond" w:eastAsia="Times New Roman" w:hAnsi="Garamond" w:cs="Times New Roman"/>
            <w:sz w:val="24"/>
            <w:szCs w:val="24"/>
          </w:rPr>
          <w:t>Perspectives on disconnects between science and management in post-fire treatment in the Western US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>Environmental Management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474AD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74ADB" w:rsidRPr="00474ADB">
        <w:rPr>
          <w:rFonts w:ascii="Garamond" w:eastAsia="Times New Roman" w:hAnsi="Garamond" w:cs="Times New Roman"/>
          <w:color w:val="000000"/>
          <w:sz w:val="24"/>
          <w:szCs w:val="24"/>
        </w:rPr>
        <w:t>52</w:t>
      </w:r>
      <w:r w:rsidR="00474ADB">
        <w:rPr>
          <w:rFonts w:ascii="Garamond" w:eastAsia="Times New Roman" w:hAnsi="Garamond" w:cs="Times New Roman"/>
          <w:color w:val="000000"/>
          <w:sz w:val="24"/>
          <w:szCs w:val="24"/>
        </w:rPr>
        <w:t>(</w:t>
      </w:r>
      <w:r w:rsidR="00474ADB" w:rsidRPr="00474ADB">
        <w:rPr>
          <w:rFonts w:ascii="Garamond" w:eastAsia="Times New Roman" w:hAnsi="Garamond" w:cs="Times New Roman"/>
          <w:color w:val="000000"/>
          <w:sz w:val="24"/>
          <w:szCs w:val="24"/>
        </w:rPr>
        <w:t>6</w:t>
      </w:r>
      <w:r w:rsidR="00474ADB">
        <w:rPr>
          <w:rFonts w:ascii="Garamond" w:eastAsia="Times New Roman" w:hAnsi="Garamond" w:cs="Times New Roman"/>
          <w:color w:val="000000"/>
          <w:sz w:val="24"/>
          <w:szCs w:val="24"/>
        </w:rPr>
        <w:t xml:space="preserve">): </w:t>
      </w:r>
      <w:r w:rsidR="00474ADB" w:rsidRPr="00474ADB">
        <w:rPr>
          <w:rFonts w:ascii="Garamond" w:eastAsia="Times New Roman" w:hAnsi="Garamond" w:cs="Times New Roman"/>
          <w:color w:val="000000"/>
          <w:sz w:val="24"/>
          <w:szCs w:val="24"/>
        </w:rPr>
        <w:t>1415-1426</w:t>
      </w:r>
      <w:r w:rsidR="00474ADB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:rsidR="00356B69" w:rsidRPr="00356B69" w:rsidRDefault="004A3BEF" w:rsidP="00356B6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Hock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Scott, Sarah E. Anderson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Matthew Potoski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2013.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39" w:history="1">
        <w:r w:rsidR="00356B69" w:rsidRPr="00CE4CAF">
          <w:rPr>
            <w:rStyle w:val="Hyperlink"/>
            <w:rFonts w:ascii="Garamond" w:eastAsia="Times New Roman" w:hAnsi="Garamond" w:cs="Times New Roman"/>
            <w:sz w:val="24"/>
            <w:szCs w:val="24"/>
          </w:rPr>
          <w:t>Invitation Phone Calls Increase Attendance at Civic Meetings: Eviden</w:t>
        </w:r>
        <w:r w:rsidRPr="00CE4CAF">
          <w:rPr>
            <w:rStyle w:val="Hyperlink"/>
            <w:rFonts w:ascii="Garamond" w:eastAsia="Times New Roman" w:hAnsi="Garamond" w:cs="Times New Roman"/>
            <w:sz w:val="24"/>
            <w:szCs w:val="24"/>
          </w:rPr>
          <w:t>ce from a Field Experiment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56B69"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Public Administration Review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73(2): 221-228.</w:t>
      </w:r>
      <w:r w:rsidR="00C63823" w:rsidRPr="00C63823">
        <w:t xml:space="preserve"> </w:t>
      </w:r>
    </w:p>
    <w:p w:rsidR="00915527" w:rsidRPr="00356B69" w:rsidRDefault="00915527" w:rsidP="00915527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2012. “</w:t>
      </w:r>
      <w:hyperlink r:id="rId40" w:history="1">
        <w:r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Policy Domain Specific Ideology: When Interest Group Scores Offer More Insight</w:t>
        </w:r>
      </w:hyperlink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Politics and Policy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40(6): 1182-1202.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56B69" w:rsidRPr="00356B69" w:rsidRDefault="004A3BEF" w:rsidP="00356B6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Woon, Jonathan and Sarah E. Anderson.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2012.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41" w:history="1">
        <w:r w:rsidR="00356B69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Political Bargaining and the Timing of Congressional Appropriations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 </w:t>
      </w:r>
      <w:r w:rsidR="00356B69"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Legislative Studies Quarterly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37(4): 409-436.</w:t>
      </w:r>
      <w:r w:rsidR="00C6382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56B69" w:rsidRPr="00356B69" w:rsidRDefault="004A3BEF" w:rsidP="00356B6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2011.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42" w:history="1">
        <w:r w:rsidR="00356B69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Complex Constituencies: Intense Environmentalists and Representation</w:t>
        </w:r>
      </w:hyperlink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.” </w:t>
      </w:r>
      <w:r w:rsidR="00356B69" w:rsidRPr="00356B6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Environmental Politics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20(4): 547-565.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356B69" w:rsidRPr="00CE4700" w:rsidRDefault="004A3BEF" w:rsidP="00356B6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and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Laurel Harbridge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2010.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43" w:history="1">
        <w:r w:rsidR="00356B69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Budget Incrementalism: Small Aggregation, Big Changes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 </w:t>
      </w:r>
      <w:r w:rsidR="00356B69" w:rsidRPr="00356B6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Public Administration Review</w:t>
      </w:r>
      <w:r w:rsidR="00356B69"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70(3): 464-474.</w:t>
      </w:r>
      <w:r w:rsidR="00CE4700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</w:p>
    <w:p w:rsidR="00356B69" w:rsidRPr="00356B69" w:rsidRDefault="004A3BEF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and Phil Habel.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2009.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44" w:history="1">
        <w:r w:rsidR="00356B69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Revisiting Adjusted ADA Scores for the U.S. Congress, 1947-2007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 </w:t>
      </w:r>
      <w:r w:rsidR="00356B69" w:rsidRPr="00356B69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Political Analysis </w:t>
      </w:r>
      <w:r w:rsidR="00356B69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17: 83-88. </w:t>
      </w:r>
    </w:p>
    <w:p w:rsidR="008B45A9" w:rsidRDefault="008B45A9" w:rsidP="004A3887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</w:p>
    <w:p w:rsidR="004A3887" w:rsidRDefault="007324F7" w:rsidP="004A3887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B</w:t>
      </w:r>
      <w:r w:rsidR="004A3887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ook Chapters</w:t>
      </w:r>
    </w:p>
    <w:p w:rsidR="001F64BC" w:rsidRPr="001F64BC" w:rsidRDefault="00610C4F" w:rsidP="001F64BC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Anderson, Sarah E. with Meghan Cook. </w:t>
      </w:r>
      <w:r w:rsidR="001F64BC">
        <w:rPr>
          <w:rFonts w:ascii="Garamond" w:eastAsia="Times New Roman" w:hAnsi="Garamond" w:cs="Times New Roman"/>
          <w:color w:val="000000"/>
          <w:sz w:val="24"/>
          <w:szCs w:val="24"/>
        </w:rPr>
        <w:t>2020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="004A3887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hyperlink r:id="rId45" w:history="1">
        <w:r w:rsidR="001F64BC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How the study of Congress and the environment can help us understand vexing problems of representation</w:t>
        </w:r>
      </w:hyperlink>
      <w:r w:rsidR="001F64BC">
        <w:rPr>
          <w:rFonts w:ascii="Garamond" w:eastAsia="Times New Roman" w:hAnsi="Garamond" w:cs="Times New Roman"/>
          <w:color w:val="000000"/>
          <w:sz w:val="24"/>
          <w:szCs w:val="24"/>
        </w:rPr>
        <w:t>.”</w:t>
      </w:r>
      <w:r w:rsidR="001F64BC" w:rsidRPr="001F64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="004A38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n </w:t>
      </w:r>
      <w:r w:rsidR="004A3887" w:rsidRPr="004A3887">
        <w:rPr>
          <w:rFonts w:ascii="Garamond" w:eastAsia="Times New Roman" w:hAnsi="Garamond" w:cs="Times New Roman"/>
          <w:i/>
          <w:color w:val="000000"/>
          <w:sz w:val="24"/>
          <w:szCs w:val="24"/>
        </w:rPr>
        <w:t>Oxford Handbook of Environmental Politics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 Edited by</w:t>
      </w:r>
      <w:r w:rsidR="004A388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David Konisky. Oxford University Press.</w:t>
      </w:r>
    </w:p>
    <w:p w:rsidR="00610C4F" w:rsidRPr="00356B69" w:rsidRDefault="00610C4F" w:rsidP="00610C4F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Anderson, Sarah E. and Terry L. Anderson. </w:t>
      </w:r>
      <w:r w:rsidRPr="00356B69">
        <w:rPr>
          <w:rFonts w:ascii="Garamond" w:eastAsia="Times New Roman" w:hAnsi="Garamond" w:cs="Times New Roman"/>
          <w:iCs/>
          <w:color w:val="000000"/>
          <w:sz w:val="24"/>
          <w:szCs w:val="24"/>
        </w:rPr>
        <w:t>2012.</w:t>
      </w:r>
      <w:r w:rsidRPr="00356B6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“The Political Economy of Wildfire Management: Saving Forests, Savin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g Houses, or Burning Money.”</w:t>
      </w:r>
      <w:r w:rsidRPr="00356B69"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 In </w:t>
      </w:r>
      <w:r w:rsidRPr="00356B6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Wildfire Policy: Law and Economics Perspectives. </w:t>
      </w:r>
      <w:r w:rsidRPr="00356B69">
        <w:rPr>
          <w:rFonts w:ascii="Garamond" w:eastAsia="Times New Roman" w:hAnsi="Garamond" w:cs="Times New Roman"/>
          <w:iCs/>
          <w:color w:val="000000"/>
          <w:sz w:val="24"/>
          <w:szCs w:val="24"/>
        </w:rPr>
        <w:t>Edited by Karen M. Bradshaw and Dean Lueck. RFF Press.</w:t>
      </w:r>
    </w:p>
    <w:p w:rsidR="00610C4F" w:rsidRDefault="00610C4F" w:rsidP="00356B69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b/>
          <w:color w:val="000000"/>
          <w:sz w:val="24"/>
          <w:szCs w:val="24"/>
        </w:rPr>
        <w:sectPr w:rsidR="00610C4F" w:rsidSect="00C66448">
          <w:headerReference w:type="default" r:id="rId46"/>
          <w:endnotePr>
            <w:numFmt w:val="decimal"/>
          </w:endnotePr>
          <w:type w:val="continuous"/>
          <w:pgSz w:w="12240" w:h="15840"/>
          <w:pgMar w:top="1008" w:right="720" w:bottom="720" w:left="864" w:header="1008" w:footer="994" w:gutter="0"/>
          <w:cols w:space="720"/>
          <w:noEndnote/>
          <w:titlePg/>
          <w:docGrid w:linePitch="299"/>
        </w:sectPr>
      </w:pPr>
    </w:p>
    <w:p w:rsidR="004A3887" w:rsidRDefault="004A3887" w:rsidP="004D455C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</w:p>
    <w:p w:rsidR="004D455C" w:rsidRDefault="004D455C" w:rsidP="004D455C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Other Publications</w:t>
      </w:r>
    </w:p>
    <w:p w:rsidR="004D455C" w:rsidRDefault="007C1053" w:rsidP="004D455C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hyperlink r:id="rId47" w:history="1">
        <w:r w:rsidR="004D455C" w:rsidRPr="00CD2876">
          <w:rPr>
            <w:rStyle w:val="Hyperlink"/>
            <w:rFonts w:ascii="Garamond" w:eastAsia="Times New Roman" w:hAnsi="Garamond" w:cs="Times New Roman"/>
            <w:sz w:val="24"/>
            <w:szCs w:val="24"/>
          </w:rPr>
          <w:t>Review</w:t>
        </w:r>
      </w:hyperlink>
      <w:r w:rsidR="004D45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</w:t>
      </w:r>
      <w:r w:rsidR="004D455C" w:rsidRPr="004D455C">
        <w:rPr>
          <w:rFonts w:ascii="Garamond" w:eastAsia="Times New Roman" w:hAnsi="Garamond" w:cs="Times New Roman"/>
          <w:i/>
          <w:color w:val="000000"/>
          <w:sz w:val="24"/>
          <w:szCs w:val="24"/>
        </w:rPr>
        <w:t>When Money Grew on Tre</w:t>
      </w:r>
      <w:r w:rsidR="0007704E">
        <w:rPr>
          <w:rFonts w:ascii="Garamond" w:eastAsia="Times New Roman" w:hAnsi="Garamond" w:cs="Times New Roman"/>
          <w:i/>
          <w:color w:val="000000"/>
          <w:sz w:val="24"/>
          <w:szCs w:val="24"/>
        </w:rPr>
        <w:t>e</w:t>
      </w:r>
      <w:r w:rsidR="004D455C" w:rsidRPr="004D455C">
        <w:rPr>
          <w:rFonts w:ascii="Garamond" w:eastAsia="Times New Roman" w:hAnsi="Garamond" w:cs="Times New Roman"/>
          <w:i/>
          <w:color w:val="000000"/>
          <w:sz w:val="24"/>
          <w:szCs w:val="24"/>
        </w:rPr>
        <w:t>s: A.B. Hammond and the Age of the Timber Baron</w:t>
      </w:r>
      <w:r w:rsidR="004D45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by Greg Gordon.</w:t>
      </w:r>
      <w:r w:rsidR="004D455C"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D455C">
        <w:rPr>
          <w:rFonts w:ascii="Garamond" w:eastAsia="Times New Roman" w:hAnsi="Garamond" w:cs="Times New Roman"/>
          <w:color w:val="000000"/>
          <w:sz w:val="24"/>
          <w:szCs w:val="24"/>
        </w:rPr>
        <w:t>EH.net (Economic History Association).</w:t>
      </w:r>
      <w:r w:rsidR="004D455C" w:rsidRPr="004D455C">
        <w:t xml:space="preserve"> </w:t>
      </w:r>
    </w:p>
    <w:p w:rsidR="00D26A51" w:rsidRDefault="00D26A51" w:rsidP="004D455C">
      <w:pPr>
        <w:widowControl w:val="0"/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Grants </w:t>
      </w:r>
      <w:r w:rsidR="0017418D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>&amp;</w:t>
      </w:r>
      <w:r w:rsidRPr="00356B69">
        <w:rPr>
          <w:rFonts w:ascii="Garamond" w:eastAsia="Times New Roman" w:hAnsi="Garamond" w:cs="Times New Roman"/>
          <w:b/>
          <w:caps/>
          <w:color w:val="000000"/>
          <w:sz w:val="24"/>
          <w:szCs w:val="24"/>
        </w:rPr>
        <w:t xml:space="preserve"> AWARDS</w:t>
      </w:r>
    </w:p>
    <w:p w:rsidR="00FF4D64" w:rsidRDefault="00FF4D64" w:rsidP="00FF4D6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National Science Foundation Hispanic Serving Institutions Grant: Center for Equitable Environmental Sciences, Co-PI, 2022, $3,000,000.</w:t>
      </w:r>
    </w:p>
    <w:p w:rsidR="007252A6" w:rsidRDefault="007252A6" w:rsidP="007252A6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Department of Agriculture Hispanic Serving Institutions Education Grant: </w:t>
      </w:r>
      <w:r w:rsidRPr="00E15DDF">
        <w:rPr>
          <w:rFonts w:ascii="Garamond" w:eastAsia="Times New Roman" w:hAnsi="Garamond" w:cs="Times New Roman"/>
          <w:iCs/>
          <w:color w:val="000000"/>
          <w:sz w:val="24"/>
          <w:szCs w:val="24"/>
        </w:rPr>
        <w:t>Equitable Agriculture and Environmental Management</w:t>
      </w: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, Co-PI, 2022, $1,000,000</w:t>
      </w:r>
    </w:p>
    <w:p w:rsidR="005C7BD8" w:rsidRPr="00A54128" w:rsidRDefault="005C7BD8" w:rsidP="005C7BD8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Gordon and Betty Moore Foundation grant: </w:t>
      </w:r>
      <w:r w:rsidRPr="00A54128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Building Foothill Community Resilience to Wildfire with Prescribed Burns</w:t>
      </w: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, PI, 2022, $1,400,000</w:t>
      </w:r>
    </w:p>
    <w:p w:rsidR="007252A6" w:rsidRDefault="007252A6" w:rsidP="007252A6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Unite America Institute: </w:t>
      </w:r>
      <w:r w:rsidRPr="00714615">
        <w:rPr>
          <w:rFonts w:ascii="Garamond" w:eastAsia="Times New Roman" w:hAnsi="Garamond" w:cs="Times New Roman"/>
          <w:iCs/>
          <w:color w:val="000000"/>
          <w:sz w:val="24"/>
          <w:szCs w:val="24"/>
        </w:rPr>
        <w:t>Moderate Emergence in Alaska Top-4 Primary</w:t>
      </w: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, PI, 2022, $22,000</w:t>
      </w:r>
    </w:p>
    <w:p w:rsidR="007252A6" w:rsidRDefault="007252A6" w:rsidP="007252A6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2020 UC Office of the President Advancing Faculty Diversity grant: D</w:t>
      </w:r>
      <w:r w:rsidRPr="0082040E">
        <w:rPr>
          <w:rFonts w:ascii="Garamond" w:hAnsi="Garamond"/>
          <w:sz w:val="24"/>
          <w:szCs w:val="24"/>
        </w:rPr>
        <w:t>ata Leadership and Intervention Strategies for More Equitable Faculty Service Workloads</w:t>
      </w:r>
      <w:r>
        <w:rPr>
          <w:rFonts w:ascii="Garamond" w:hAnsi="Garamond"/>
          <w:sz w:val="24"/>
          <w:szCs w:val="24"/>
        </w:rPr>
        <w:t xml:space="preserve">, </w:t>
      </w:r>
      <w:r w:rsidRPr="00F354D5">
        <w:rPr>
          <w:rFonts w:ascii="Garamond" w:hAnsi="Garamond"/>
          <w:sz w:val="24"/>
          <w:szCs w:val="24"/>
        </w:rPr>
        <w:t>$224,852</w:t>
      </w:r>
    </w:p>
    <w:p w:rsidR="007D6795" w:rsidRDefault="007D6795" w:rsidP="007D6795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2020 Science, Technology, and Environmental Politics Section of the </w:t>
      </w:r>
      <w:r w:rsidRPr="00903ACB"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American Political Science Association Evan </w:t>
      </w:r>
      <w:proofErr w:type="spellStart"/>
      <w:r w:rsidRPr="00903ACB">
        <w:rPr>
          <w:rFonts w:ascii="Garamond" w:eastAsia="Times New Roman" w:hAnsi="Garamond" w:cs="Times New Roman"/>
          <w:iCs/>
          <w:color w:val="000000"/>
          <w:sz w:val="24"/>
          <w:szCs w:val="24"/>
        </w:rPr>
        <w:t>Ringquist</w:t>
      </w:r>
      <w:proofErr w:type="spellEnd"/>
      <w:r w:rsidRPr="00903ACB"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 Best Paper Award for the best paper published in a relevant journal in the last two years</w:t>
      </w:r>
    </w:p>
    <w:p w:rsidR="007C474B" w:rsidRDefault="007C474B" w:rsidP="007C474B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2018 </w:t>
      </w:r>
      <w:r w:rsidRPr="007C474B">
        <w:rPr>
          <w:rFonts w:ascii="Garamond" w:eastAsia="Times New Roman" w:hAnsi="Garamond" w:cs="Times New Roman"/>
          <w:iCs/>
          <w:color w:val="000000"/>
          <w:sz w:val="24"/>
          <w:szCs w:val="24"/>
        </w:rPr>
        <w:t>Honorable Mention</w:t>
      </w:r>
      <w:r w:rsidRPr="007C474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the UCSB </w:t>
      </w:r>
      <w:r w:rsidRPr="007C474B">
        <w:rPr>
          <w:rFonts w:ascii="Garamond" w:eastAsia="Times New Roman" w:hAnsi="Garamond" w:cs="Times New Roman"/>
          <w:iCs/>
          <w:color w:val="000000"/>
          <w:sz w:val="24"/>
          <w:szCs w:val="24"/>
        </w:rPr>
        <w:t>GSA Dixon-Levy Service Award</w:t>
      </w:r>
      <w:r w:rsidRPr="007C474B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7C474B">
        <w:rPr>
          <w:rFonts w:ascii="Garamond" w:eastAsia="Times New Roman" w:hAnsi="Garamond" w:cs="Times New Roman"/>
          <w:color w:val="000000"/>
          <w:sz w:val="24"/>
          <w:szCs w:val="24"/>
        </w:rPr>
        <w:t>for continued service and advocacy for graduate students on campus</w:t>
      </w:r>
      <w:r w:rsidRPr="007C474B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.</w:t>
      </w:r>
    </w:p>
    <w:p w:rsidR="003F2C7A" w:rsidRPr="003F2C7A" w:rsidRDefault="003F2C7A" w:rsidP="007C474B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 xml:space="preserve">Southern California Edison </w:t>
      </w:r>
      <w:r w:rsidR="0034059D">
        <w:rPr>
          <w:rFonts w:ascii="Garamond" w:eastAsia="Times New Roman" w:hAnsi="Garamond" w:cs="Times New Roman"/>
          <w:iCs/>
          <w:color w:val="000000"/>
          <w:sz w:val="24"/>
          <w:szCs w:val="24"/>
        </w:rPr>
        <w:t>gift for wildfire research, $96</w:t>
      </w:r>
      <w:r>
        <w:rPr>
          <w:rFonts w:ascii="Garamond" w:eastAsia="Times New Roman" w:hAnsi="Garamond" w:cs="Times New Roman"/>
          <w:iCs/>
          <w:color w:val="000000"/>
          <w:sz w:val="24"/>
          <w:szCs w:val="24"/>
        </w:rPr>
        <w:t>,000.</w:t>
      </w:r>
    </w:p>
    <w:p w:rsidR="00AE7A60" w:rsidRDefault="00AE7A60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E7A60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UCSB Crossroads: Integrating Interdisciplinary Research and Teaching in Graduate Education, The Science and Social Science of Grizzly Bear Reintroduction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AE7A60">
        <w:rPr>
          <w:rFonts w:ascii="Garamond" w:eastAsia="Times New Roman" w:hAnsi="Garamond" w:cs="Times New Roman"/>
          <w:color w:val="000000"/>
          <w:sz w:val="24"/>
          <w:szCs w:val="24"/>
        </w:rPr>
        <w:tab/>
        <w:t>$85,800</w:t>
      </w:r>
      <w:r w:rsidRPr="00AE7A60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5C4CA4" w:rsidRDefault="005C4CA4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NSF </w:t>
      </w:r>
      <w:r w:rsidRPr="005C4CA4">
        <w:rPr>
          <w:rFonts w:ascii="Garamond" w:eastAsia="Times New Roman" w:hAnsi="Garamond" w:cs="Times New Roman"/>
          <w:color w:val="000000"/>
          <w:sz w:val="24"/>
          <w:szCs w:val="24"/>
        </w:rPr>
        <w:t>Hazards SEES: Land Management Strategies for Confronting Risks and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C4CA4">
        <w:rPr>
          <w:rFonts w:ascii="Garamond" w:eastAsia="Times New Roman" w:hAnsi="Garamond" w:cs="Times New Roman"/>
          <w:color w:val="000000"/>
          <w:sz w:val="24"/>
          <w:szCs w:val="24"/>
        </w:rPr>
        <w:t>Consequences of Wildfire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2016,</w:t>
      </w:r>
      <w:r w:rsidR="006674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>$1,750,000</w:t>
      </w:r>
    </w:p>
    <w:p w:rsidR="0082769C" w:rsidRDefault="00612FA0" w:rsidP="0082769C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2016 Paul A. Sabatier Best Conference Paper Award from the Science, Technology and Environme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ntal Politics APSA Section for “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Public Salience Drives Agency Action: Wildfire and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Management of Public Lands”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 Matthew Wibbenmeyer and Andr</w:t>
      </w:r>
      <w:r w:rsidR="0082769C">
        <w:rPr>
          <w:rFonts w:ascii="Garamond" w:eastAsia="Times New Roman" w:hAnsi="Garamond" w:cs="Times New Roman"/>
          <w:color w:val="000000"/>
          <w:sz w:val="24"/>
          <w:szCs w:val="24"/>
        </w:rPr>
        <w:t>ew Plantinga</w:t>
      </w:r>
    </w:p>
    <w:p w:rsidR="0082769C" w:rsidRDefault="0082769C" w:rsidP="0082769C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2769C">
        <w:rPr>
          <w:rFonts w:ascii="Garamond" w:eastAsia="Times New Roman" w:hAnsi="Garamond" w:cs="Times New Roman"/>
          <w:color w:val="000000"/>
          <w:sz w:val="24"/>
          <w:szCs w:val="24"/>
        </w:rPr>
        <w:t>Negotiating Agreement in Congress Research Grant: Overcoming Obstacles Beyond Ideological Disagreement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, Social Science Research Council Grant, $9,968.</w:t>
      </w:r>
    </w:p>
    <w:p w:rsidR="0066745C" w:rsidRDefault="0066745C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Selected by the Chancellor for the 2016 University of California-CORO Women’s Initiative for Empowerment training </w:t>
      </w:r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>to improve the professional development and advancement of women at UC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66745C" w:rsidRDefault="0066745C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>Doctor Pearl Chase Grant for Local Community Development, Conservation, or Historic Preservation Research Projects: Using Strategic M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essaging for Water Conservation, UCSB, 2016,</w:t>
      </w:r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$7,000</w:t>
      </w:r>
    </w:p>
    <w:p w:rsidR="006F2507" w:rsidRDefault="006F2507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Strategic Environmental Research Initiative Grant on Equity and Conservation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>, Bren School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, 2015,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$50,000</w:t>
      </w:r>
    </w:p>
    <w:p w:rsidR="0066745C" w:rsidRDefault="0066745C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>National Center for Ecological Synthesis (</w:t>
      </w:r>
      <w:proofErr w:type="spellStart"/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>SESync</w:t>
      </w:r>
      <w:proofErr w:type="spellEnd"/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): Wildfire Management, Ecosystem Dynamics, and Climate: The Role of Risk Salience in Driving 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Ecological Outcomes, 2015,</w:t>
      </w:r>
      <w:r w:rsidRPr="0066745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$68,000 plus travel</w:t>
      </w:r>
    </w:p>
    <w:p w:rsidR="001938DF" w:rsidRDefault="001938DF" w:rsidP="005C4CA4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Faculty Research Grant: Th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e Mobilization Paradox, 2015,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$6,800</w:t>
      </w:r>
    </w:p>
    <w:p w:rsidR="00A51C0C" w:rsidRDefault="00A51C0C" w:rsidP="00A51C0C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Strategic Environmental Research Initiative Grant on Wildfire 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and Climate Change, Bren School, 2013,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$50,000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UCSB Crossroads: Integrating Interdisciplinary Research </w:t>
      </w:r>
      <w:r w:rsidRPr="00135C43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Teaching in Graduate Education, </w:t>
      </w:r>
      <w:r w:rsidR="00135C43" w:rsidRPr="00135C43">
        <w:rPr>
          <w:rFonts w:ascii="Garamond" w:hAnsi="Garamond" w:cs="Times New Roman"/>
          <w:sz w:val="24"/>
          <w:szCs w:val="24"/>
        </w:rPr>
        <w:t xml:space="preserve">Framing Effects in Individual and Collective Action on Environmental Politics and Policy, </w:t>
      </w:r>
      <w:r w:rsidRPr="00135C43">
        <w:rPr>
          <w:rFonts w:ascii="Garamond" w:eastAsia="Times New Roman" w:hAnsi="Garamond" w:cs="Times New Roman"/>
          <w:color w:val="000000"/>
          <w:sz w:val="24"/>
          <w:szCs w:val="24"/>
        </w:rPr>
        <w:t>2013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-2014,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$</w:t>
      </w:r>
      <w:r w:rsidR="00301CE4">
        <w:rPr>
          <w:rFonts w:ascii="Garamond" w:eastAsia="Times New Roman" w:hAnsi="Garamond" w:cs="Times New Roman"/>
          <w:color w:val="000000"/>
          <w:sz w:val="24"/>
          <w:szCs w:val="24"/>
        </w:rPr>
        <w:t>193,000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Center for Nanotechnology in So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ciety Seed Grant, 2013,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$54,000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Distinguished Teaching Award, Bren School of Environmental Science and Management, 2012</w:t>
      </w:r>
      <w:r w:rsidRPr="00356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 xml:space="preserve">Faculty Career Development Award, UCSB, 2012 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C-RIG: The Environmental Justice, Sustainable Development, and Green Economy Curriculum Collaborative Grant with Clyde Woo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>ds and Jeffrey Stewart</w:t>
      </w:r>
      <w:r w:rsidR="00CE4700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1777E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$3,500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Regents Junior Faculty Fellowship, UCSB, 2010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color w:val="000000"/>
          <w:sz w:val="24"/>
          <w:szCs w:val="24"/>
        </w:rPr>
        <w:t>Lone Mountain Fellowship, PERC, 2007, 2009</w:t>
      </w:r>
      <w:r w:rsidR="00FA158A">
        <w:rPr>
          <w:rFonts w:ascii="Garamond" w:eastAsia="Times New Roman" w:hAnsi="Garamond" w:cs="Times New Roman"/>
          <w:color w:val="000000"/>
          <w:sz w:val="24"/>
          <w:szCs w:val="24"/>
        </w:rPr>
        <w:t>, 2015</w:t>
      </w:r>
    </w:p>
    <w:p w:rsidR="00356B69" w:rsidRPr="00356B69" w:rsidRDefault="00356B69" w:rsidP="00356B69">
      <w:pPr>
        <w:tabs>
          <w:tab w:val="left" w:pos="0"/>
          <w:tab w:val="left" w:pos="720"/>
          <w:tab w:val="left" w:pos="1440"/>
          <w:tab w:val="left" w:pos="198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caps/>
          <w:color w:val="000000"/>
          <w:sz w:val="24"/>
          <w:szCs w:val="24"/>
        </w:rPr>
      </w:pPr>
    </w:p>
    <w:p w:rsidR="00356B69" w:rsidRPr="00356B69" w:rsidRDefault="00356B69" w:rsidP="005F0021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aps/>
          <w:sz w:val="24"/>
          <w:szCs w:val="24"/>
        </w:rPr>
        <w:t>Teaching</w:t>
      </w:r>
      <w:r w:rsidRPr="00356B69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FF4D64" w:rsidRDefault="00FF4D64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  <w:sectPr w:rsidR="00FF4D64" w:rsidSect="00C66448">
          <w:endnotePr>
            <w:numFmt w:val="decimal"/>
          </w:endnotePr>
          <w:type w:val="continuous"/>
          <w:pgSz w:w="12240" w:h="15840"/>
          <w:pgMar w:top="1008" w:right="720" w:bottom="720" w:left="864" w:header="1008" w:footer="994" w:gutter="0"/>
          <w:cols w:space="720"/>
          <w:noEndnote/>
          <w:titlePg/>
          <w:docGrid w:linePitch="299"/>
        </w:sectPr>
      </w:pP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sz w:val="24"/>
          <w:szCs w:val="24"/>
        </w:rPr>
        <w:t xml:space="preserve">PhD-Level Courses: </w:t>
      </w: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Congressional </w:t>
      </w:r>
      <w:proofErr w:type="spellStart"/>
      <w:r w:rsidRPr="00356B69">
        <w:rPr>
          <w:rFonts w:ascii="Garamond" w:eastAsia="Times New Roman" w:hAnsi="Garamond" w:cs="Times New Roman"/>
          <w:sz w:val="24"/>
          <w:szCs w:val="24"/>
        </w:rPr>
        <w:t>Decisionmaking</w:t>
      </w:r>
      <w:proofErr w:type="spellEnd"/>
      <w:r w:rsidRPr="00356B69">
        <w:rPr>
          <w:rFonts w:ascii="Garamond" w:eastAsia="Times New Roman" w:hAnsi="Garamond" w:cs="Times New Roman"/>
          <w:sz w:val="24"/>
          <w:szCs w:val="24"/>
        </w:rPr>
        <w:t xml:space="preserve"> and the Environment </w:t>
      </w: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Collaborative Research </w:t>
      </w:r>
    </w:p>
    <w:p w:rsidR="00356B69" w:rsidRDefault="005F0021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Environmental Politics Workshop</w:t>
      </w:r>
    </w:p>
    <w:p w:rsidR="00C03E9F" w:rsidRPr="00356B69" w:rsidRDefault="00C03E9F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sz w:val="24"/>
          <w:szCs w:val="24"/>
        </w:rPr>
        <w:t xml:space="preserve">Master’s Level Courses: </w:t>
      </w: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>Environmental Politics and Policy</w:t>
      </w:r>
    </w:p>
    <w:p w:rsidR="00356B69" w:rsidRP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Environmental Policy Analysis </w:t>
      </w:r>
    </w:p>
    <w:p w:rsidR="00356B69" w:rsidRDefault="00356B69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Public Opinion and Survey Design </w:t>
      </w:r>
    </w:p>
    <w:p w:rsidR="00EE532F" w:rsidRPr="00356B69" w:rsidRDefault="00EE532F" w:rsidP="00356B69">
      <w:pPr>
        <w:tabs>
          <w:tab w:val="left" w:pos="19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Equity in the Managed Environment</w:t>
      </w:r>
    </w:p>
    <w:p w:rsidR="00FF4D64" w:rsidRDefault="00FF4D64" w:rsidP="00356B69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sectPr w:rsidR="00FF4D64" w:rsidSect="00FF4D64">
          <w:endnotePr>
            <w:numFmt w:val="decimal"/>
          </w:endnotePr>
          <w:type w:val="continuous"/>
          <w:pgSz w:w="12240" w:h="15840"/>
          <w:pgMar w:top="1008" w:right="720" w:bottom="720" w:left="864" w:header="1008" w:footer="994" w:gutter="0"/>
          <w:cols w:num="2" w:space="720"/>
          <w:noEndnote/>
          <w:titlePg/>
          <w:docGrid w:linePitch="299"/>
        </w:sectPr>
      </w:pPr>
    </w:p>
    <w:p w:rsid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</w:p>
    <w:p w:rsidR="007252A6" w:rsidRPr="000D2DF6" w:rsidRDefault="007252A6" w:rsidP="007252A6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  <w:r w:rsidRPr="000D2DF6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t>PhD STUDENTS</w:t>
      </w:r>
    </w:p>
    <w:p w:rsidR="007252A6" w:rsidRDefault="007252A6" w:rsidP="007252A6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D2DF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Current </w:t>
      </w:r>
      <w:proofErr w:type="gramStart"/>
      <w:r w:rsidRPr="000D2DF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Students: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,</w:t>
      </w:r>
      <w:proofErr w:type="gram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Elliott Finn (Chair), 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Renae Marshall (Chair), Geoff Henderson, Sean Denny, Olivia Quinn, Gabriela </w:t>
      </w:r>
      <w:proofErr w:type="spellStart"/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Alberola</w:t>
      </w:r>
      <w:proofErr w:type="spellEnd"/>
    </w:p>
    <w:p w:rsidR="007252A6" w:rsidRPr="000D2DF6" w:rsidRDefault="007252A6" w:rsidP="007252A6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contextualSpacing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0D2DF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Past Students: 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Cameron Brick (</w:t>
      </w:r>
      <w:r w:rsidR="00E42EBC" w:rsidRP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>University of Amsterdam, Netherlands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), Kristin Carden (</w:t>
      </w:r>
      <w:r w:rsidR="00C1436C">
        <w:rPr>
          <w:rFonts w:ascii="Garamond" w:eastAsia="Times New Roman" w:hAnsi="Garamond" w:cs="Times New Roman"/>
          <w:bCs/>
          <w:color w:val="000000"/>
          <w:sz w:val="24"/>
          <w:szCs w:val="24"/>
        </w:rPr>
        <w:t>Center for Biological Diversity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), Mary Collins (SUNY ESF, chair), Alex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DeGolia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(chair, </w:t>
      </w:r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>Environmental Defense Fund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), Phillip Ehret, Matthew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Feinup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(co-chair, California Lutheran University), Sheetal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Gavankar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</w:t>
      </w:r>
      <w:proofErr w:type="spellStart"/>
      <w:r w:rsidRPr="000D2DF6">
        <w:rPr>
          <w:rFonts w:ascii="Garamond" w:hAnsi="Garamond"/>
          <w:sz w:val="24"/>
          <w:szCs w:val="24"/>
        </w:rPr>
        <w:t>Mitr</w:t>
      </w:r>
      <w:proofErr w:type="spellEnd"/>
      <w:r w:rsidRPr="000D2DF6">
        <w:rPr>
          <w:rFonts w:ascii="Garamond" w:hAnsi="Garamond"/>
          <w:sz w:val="24"/>
          <w:szCs w:val="24"/>
        </w:rPr>
        <w:t xml:space="preserve"> Consulting Corporation)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,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Michele Handy (</w:t>
      </w:r>
      <w:proofErr w:type="spellStart"/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>WeightWatchers</w:t>
      </w:r>
      <w:proofErr w:type="spellEnd"/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>),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</w:t>
      </w:r>
      <w:r w:rsidR="00BE3807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Geoffrey Henderson (post-doc, Duke University), 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Elizabeth Hiroyasu</w:t>
      </w:r>
      <w:r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(TNC), 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Heather Hodges (</w:t>
      </w:r>
      <w:proofErr w:type="spellStart"/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>Amason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, chair), Sara Hughes (U Michigan), Lisa Leombruni (UCSB), Jessica Perkins (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Apeel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), Yuwei Qin (Berkeley),</w:t>
      </w:r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>Qiu</w:t>
      </w:r>
      <w:proofErr w:type="spellEnd"/>
      <w:r w:rsidR="00E42EBC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(Pacific Northwest National Laboratory),</w:t>
      </w:r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Jaime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Sainz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-Santamaria (CIDE, chair),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Leopolo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Soto (Federal Energy Regulatory Commission), Aaron Sparks (Elon University), Matthew </w:t>
      </w:r>
      <w:proofErr w:type="spellStart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>Wibbenmeyer</w:t>
      </w:r>
      <w:proofErr w:type="spellEnd"/>
      <w:r w:rsidRPr="000D2DF6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(Resources for the Future)</w:t>
      </w:r>
    </w:p>
    <w:p w:rsidR="007252A6" w:rsidRPr="00356B69" w:rsidRDefault="007252A6" w:rsidP="00356B69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</w:p>
    <w:p w:rsidR="00356B69" w:rsidRP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bCs/>
          <w:caps/>
          <w:color w:val="000000"/>
          <w:sz w:val="24"/>
          <w:szCs w:val="24"/>
        </w:rPr>
        <w:t>Related Work Experience</w:t>
      </w:r>
    </w:p>
    <w:p w:rsidR="00356B69" w:rsidRPr="00356B69" w:rsidRDefault="00356B69" w:rsidP="00356B69">
      <w:pPr>
        <w:tabs>
          <w:tab w:val="left" w:pos="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>Legislative Assistant, Congressman Chris Cannon, Washington, DC, 2000-2001</w:t>
      </w:r>
    </w:p>
    <w:p w:rsidR="00356B69" w:rsidRPr="00356B69" w:rsidRDefault="00356B69" w:rsidP="00356B69">
      <w:pPr>
        <w:tabs>
          <w:tab w:val="left" w:pos="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356B69">
        <w:rPr>
          <w:rFonts w:ascii="Garamond" w:eastAsia="Times New Roman" w:hAnsi="Garamond" w:cs="Times New Roman"/>
          <w:bCs/>
          <w:sz w:val="24"/>
          <w:szCs w:val="24"/>
        </w:rPr>
        <w:lastRenderedPageBreak/>
        <w:t>House National Parks and Public Lands Subcommittee, Washington, DC, 1999-2000</w:t>
      </w:r>
    </w:p>
    <w:p w:rsidR="00356B69" w:rsidRPr="00356B69" w:rsidRDefault="00356B69" w:rsidP="00356B69">
      <w:pPr>
        <w:tabs>
          <w:tab w:val="left" w:pos="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</w:rPr>
      </w:pPr>
      <w:r w:rsidRPr="00356B69">
        <w:rPr>
          <w:rFonts w:ascii="Garamond" w:eastAsia="Times New Roman" w:hAnsi="Garamond" w:cs="Times New Roman"/>
          <w:bCs/>
          <w:sz w:val="24"/>
          <w:szCs w:val="24"/>
        </w:rPr>
        <w:t>Intern, Massachusetts State Senator David P. Magnani, Boston, MA, 1997</w:t>
      </w:r>
    </w:p>
    <w:p w:rsidR="00356B69" w:rsidRPr="00356B69" w:rsidRDefault="00356B69" w:rsidP="00356B69">
      <w:pPr>
        <w:tabs>
          <w:tab w:val="left" w:pos="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356B69">
        <w:rPr>
          <w:rFonts w:ascii="Garamond" w:eastAsia="Times New Roman" w:hAnsi="Garamond" w:cs="Times New Roman"/>
          <w:bCs/>
          <w:color w:val="000000"/>
          <w:sz w:val="24"/>
          <w:szCs w:val="24"/>
        </w:rPr>
        <w:t>Research Intern, Greater Yellowstone Coalition, Bozeman, MT, 1997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</w:rPr>
      </w:pPr>
    </w:p>
    <w:p w:rsid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Garamond" w:eastAsia="Times New Roman" w:hAnsi="Garamond" w:cs="Times New Roman"/>
          <w:b/>
          <w:caps/>
          <w:sz w:val="24"/>
          <w:szCs w:val="24"/>
        </w:rPr>
      </w:pPr>
      <w:r w:rsidRPr="00356B69">
        <w:rPr>
          <w:rFonts w:ascii="Garamond" w:eastAsia="Times New Roman" w:hAnsi="Garamond" w:cs="Times New Roman"/>
          <w:b/>
          <w:caps/>
          <w:sz w:val="24"/>
          <w:szCs w:val="24"/>
        </w:rPr>
        <w:t>Disciplinary SERVICE</w:t>
      </w:r>
    </w:p>
    <w:p w:rsidR="00FF4D64" w:rsidRDefault="00FF4D64" w:rsidP="00FF4D64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Environmental Politics and Governance Conference International Steering Committee, 20</w:t>
      </w:r>
      <w:r w:rsidR="00A8419E">
        <w:rPr>
          <w:rFonts w:ascii="Garamond" w:eastAsia="Times New Roman" w:hAnsi="Garamond" w:cs="Times New Roman"/>
          <w:sz w:val="24"/>
          <w:szCs w:val="24"/>
        </w:rPr>
        <w:t>19</w:t>
      </w:r>
      <w:r>
        <w:rPr>
          <w:rFonts w:ascii="Garamond" w:eastAsia="Times New Roman" w:hAnsi="Garamond" w:cs="Times New Roman"/>
          <w:sz w:val="24"/>
          <w:szCs w:val="24"/>
        </w:rPr>
        <w:t>-present</w:t>
      </w:r>
    </w:p>
    <w:p w:rsidR="00D23240" w:rsidRDefault="00D23240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Editorial Board, </w:t>
      </w:r>
      <w:r>
        <w:rPr>
          <w:rFonts w:ascii="Garamond" w:eastAsia="Times New Roman" w:hAnsi="Garamond" w:cs="Times New Roman"/>
          <w:i/>
          <w:sz w:val="24"/>
          <w:szCs w:val="24"/>
        </w:rPr>
        <w:t xml:space="preserve">Political Research Quarterly, </w:t>
      </w:r>
      <w:r>
        <w:rPr>
          <w:rFonts w:ascii="Garamond" w:eastAsia="Times New Roman" w:hAnsi="Garamond" w:cs="Times New Roman"/>
          <w:sz w:val="24"/>
          <w:szCs w:val="24"/>
        </w:rPr>
        <w:t>2018-present.</w:t>
      </w:r>
    </w:p>
    <w:p w:rsidR="00FF4D64" w:rsidRDefault="00FF4D64" w:rsidP="00FF4D64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Environmental Politics Section Chair, Midwest Political Science Association 2023</w:t>
      </w:r>
    </w:p>
    <w:p w:rsidR="00FF4D64" w:rsidRPr="000D2DF6" w:rsidRDefault="00FF4D64" w:rsidP="00FF4D64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Environmental Politics Section Chair, Western Political Science Association 2022</w:t>
      </w:r>
    </w:p>
    <w:p w:rsidR="008B45A9" w:rsidRDefault="008B45A9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APSA STEP Section, Elinor Ostrom Career Achievement Award</w:t>
      </w:r>
      <w:r w:rsidR="00435828">
        <w:rPr>
          <w:rFonts w:ascii="Garamond" w:eastAsia="Times New Roman" w:hAnsi="Garamond" w:cs="Times New Roman"/>
          <w:sz w:val="24"/>
          <w:szCs w:val="24"/>
        </w:rPr>
        <w:t xml:space="preserve"> Committee</w:t>
      </w:r>
      <w:r>
        <w:rPr>
          <w:rFonts w:ascii="Garamond" w:eastAsia="Times New Roman" w:hAnsi="Garamond" w:cs="Times New Roman"/>
          <w:sz w:val="24"/>
          <w:szCs w:val="24"/>
        </w:rPr>
        <w:t>, 2018, 2019</w:t>
      </w:r>
    </w:p>
    <w:p w:rsidR="008B45A9" w:rsidRPr="00D23240" w:rsidRDefault="008B45A9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APSA Public Policy Section, Nominations Committee, 2019</w:t>
      </w:r>
    </w:p>
    <w:p w:rsidR="00AE7A60" w:rsidRDefault="00CE4700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NSF Panel Reviewer, 2018</w:t>
      </w:r>
    </w:p>
    <w:p w:rsidR="00AE7A60" w:rsidRDefault="008B45A9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NSF Proposal Reviews, 2018</w:t>
      </w:r>
    </w:p>
    <w:p w:rsidR="00EE532F" w:rsidRDefault="0066745C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President</w:t>
      </w:r>
      <w:r w:rsidR="00EE532F">
        <w:rPr>
          <w:rFonts w:ascii="Garamond" w:eastAsia="Times New Roman" w:hAnsi="Garamond" w:cs="Times New Roman"/>
          <w:sz w:val="24"/>
          <w:szCs w:val="24"/>
        </w:rPr>
        <w:t>, Science, Technology, and Environmental Politics section, American Political Science Association</w:t>
      </w:r>
      <w:r w:rsidR="00CE4700">
        <w:rPr>
          <w:rFonts w:ascii="Garamond" w:eastAsia="Times New Roman" w:hAnsi="Garamond" w:cs="Times New Roman"/>
          <w:sz w:val="24"/>
          <w:szCs w:val="24"/>
        </w:rPr>
        <w:t xml:space="preserve"> 2014-</w:t>
      </w:r>
      <w:r w:rsidR="005F0021">
        <w:rPr>
          <w:rFonts w:ascii="Garamond" w:eastAsia="Times New Roman" w:hAnsi="Garamond" w:cs="Times New Roman"/>
          <w:sz w:val="24"/>
          <w:szCs w:val="24"/>
        </w:rPr>
        <w:t>2018</w:t>
      </w:r>
    </w:p>
    <w:p w:rsidR="00AF47BE" w:rsidRDefault="00CF1A1F" w:rsidP="0066745C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Convene</w:t>
      </w:r>
      <w:r w:rsidR="00AF47BE">
        <w:rPr>
          <w:rFonts w:ascii="Garamond" w:eastAsia="Times New Roman" w:hAnsi="Garamond" w:cs="Times New Roman"/>
          <w:sz w:val="24"/>
          <w:szCs w:val="24"/>
        </w:rPr>
        <w:t>r and Faculty, STEP Section D</w:t>
      </w:r>
      <w:r w:rsidR="00CE4700">
        <w:rPr>
          <w:rFonts w:ascii="Garamond" w:eastAsia="Times New Roman" w:hAnsi="Garamond" w:cs="Times New Roman"/>
          <w:sz w:val="24"/>
          <w:szCs w:val="24"/>
        </w:rPr>
        <w:t>issertation Workshop, APSA 2016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Editorial Board, 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>American Politics Research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AF47BE" w:rsidRPr="00AF47BE">
        <w:rPr>
          <w:rFonts w:ascii="Garamond" w:eastAsia="Times New Roman" w:hAnsi="Garamond" w:cs="Times New Roman"/>
          <w:sz w:val="24"/>
          <w:szCs w:val="24"/>
        </w:rPr>
        <w:t>2013-</w:t>
      </w:r>
      <w:r w:rsidR="00AF47BE">
        <w:rPr>
          <w:rFonts w:ascii="Garamond" w:eastAsia="Times New Roman" w:hAnsi="Garamond" w:cs="Times New Roman"/>
          <w:sz w:val="24"/>
          <w:szCs w:val="24"/>
        </w:rPr>
        <w:t>2015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>Environmental Politics and Policy Section Chair, Midwest Political Science Conference 2014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>APSA Legislative Studies Section Alan Rosenthal Prize Committee 2013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>Virginia M. Walsh Dissertation Award Committee 2012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>Manuscript Reviewer for</w:t>
      </w:r>
      <w:r w:rsidRPr="00811225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11225" w:rsidRPr="00811225">
        <w:rPr>
          <w:rFonts w:ascii="Garamond" w:eastAsia="Times New Roman" w:hAnsi="Garamond" w:cs="Times New Roman"/>
          <w:i/>
          <w:sz w:val="24"/>
          <w:szCs w:val="24"/>
        </w:rPr>
        <w:t xml:space="preserve">American Journal of Political Science, 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 xml:space="preserve">American Political Science Review,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>American Politics Research,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 British Journal of Political Science, </w:t>
      </w:r>
      <w:r w:rsidR="00110518">
        <w:rPr>
          <w:rFonts w:ascii="Garamond" w:eastAsia="Times New Roman" w:hAnsi="Garamond" w:cs="Times New Roman"/>
          <w:sz w:val="24"/>
          <w:szCs w:val="24"/>
        </w:rPr>
        <w:t xml:space="preserve">Cambridge University Press,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Climate Research,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Conservation Letters,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>Ecology and Society,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 xml:space="preserve"> Environmental Economics and Management,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Environmental Politics,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 xml:space="preserve">International Public Management Journal, Journal of Environmental Economics and Management,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Journal of Experimental Political Science, 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>Journal of Politics</w:t>
      </w:r>
      <w:r w:rsidR="00E91E59">
        <w:rPr>
          <w:rFonts w:ascii="Garamond" w:eastAsia="Times New Roman" w:hAnsi="Garamond" w:cs="Times New Roman"/>
          <w:i/>
          <w:sz w:val="24"/>
          <w:szCs w:val="24"/>
        </w:rPr>
        <w:t>,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 Journal of Policy Analysis &amp; Management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>,</w:t>
      </w:r>
      <w:r w:rsidR="00AF47BE" w:rsidRPr="00AF47BE">
        <w:t xml:space="preserve">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>Journal of Public Policy,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Legislative Studies Quarterly, </w:t>
      </w:r>
      <w:r w:rsidR="00110518">
        <w:rPr>
          <w:rFonts w:ascii="Garamond" w:eastAsia="Times New Roman" w:hAnsi="Garamond" w:cs="Times New Roman"/>
          <w:sz w:val="24"/>
          <w:szCs w:val="24"/>
        </w:rPr>
        <w:t xml:space="preserve">NERC,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PLOS One,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PNAS,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Politics and Policy, 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 xml:space="preserve">Political </w:t>
      </w:r>
      <w:r w:rsidRPr="002A0255">
        <w:rPr>
          <w:rFonts w:ascii="Garamond" w:eastAsia="Times New Roman" w:hAnsi="Garamond" w:cs="Times New Roman"/>
          <w:i/>
          <w:sz w:val="24"/>
          <w:szCs w:val="24"/>
        </w:rPr>
        <w:t>R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 xml:space="preserve">esearch Quarterly,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Policy and Society,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 xml:space="preserve">Policy Studies Journal, </w:t>
      </w:r>
      <w:r w:rsidRPr="00356B69">
        <w:rPr>
          <w:rFonts w:ascii="Garamond" w:eastAsia="Times New Roman" w:hAnsi="Garamond" w:cs="Times New Roman"/>
          <w:i/>
          <w:sz w:val="24"/>
          <w:szCs w:val="24"/>
        </w:rPr>
        <w:t xml:space="preserve">PS: Political Science &amp; Politics, 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Public Administration Review,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 xml:space="preserve">Public Budgeting and Finance, Public Choice, 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 xml:space="preserve">Public Opinion Quarterly, </w:t>
      </w:r>
      <w:r w:rsidR="00AF47BE" w:rsidRPr="00AF47BE">
        <w:rPr>
          <w:rFonts w:ascii="Garamond" w:eastAsia="Times New Roman" w:hAnsi="Garamond" w:cs="Times New Roman"/>
          <w:i/>
          <w:sz w:val="24"/>
          <w:szCs w:val="24"/>
        </w:rPr>
        <w:t>Quarterly Journal of Political Science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 xml:space="preserve">, </w:t>
      </w:r>
      <w:r w:rsidR="0011561C">
        <w:rPr>
          <w:rFonts w:ascii="Garamond" w:eastAsia="Times New Roman" w:hAnsi="Garamond" w:cs="Times New Roman"/>
          <w:i/>
          <w:sz w:val="24"/>
          <w:szCs w:val="24"/>
        </w:rPr>
        <w:t>Review of Environ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>mental Economics and Management, Risks, Hazards, and Crises in Public Policy, Social Science Journal</w:t>
      </w:r>
      <w:r w:rsidR="00110518">
        <w:rPr>
          <w:rFonts w:ascii="Garamond" w:eastAsia="Times New Roman" w:hAnsi="Garamond" w:cs="Times New Roman"/>
          <w:i/>
          <w:sz w:val="24"/>
          <w:szCs w:val="24"/>
        </w:rPr>
        <w:t>, Sustainability, Water Policy</w:t>
      </w:r>
      <w:r w:rsidR="00AF47BE"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356B69" w:rsidRDefault="008B45A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RECENT </w:t>
      </w:r>
      <w:r w:rsidR="00356B69" w:rsidRPr="00356B69">
        <w:rPr>
          <w:rFonts w:ascii="Garamond" w:eastAsia="Times New Roman" w:hAnsi="Garamond" w:cs="Times New Roman"/>
          <w:b/>
          <w:sz w:val="24"/>
          <w:szCs w:val="24"/>
        </w:rPr>
        <w:t xml:space="preserve">DEPARTMENT AND UNIVERSITY SERVICE </w:t>
      </w:r>
    </w:p>
    <w:p w:rsidR="00AE7A60" w:rsidRDefault="00AE7A60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Member, Chancellor’s Task Force o</w:t>
      </w:r>
      <w:r w:rsidR="00CE4700">
        <w:rPr>
          <w:rFonts w:ascii="Garamond" w:eastAsia="Times New Roman" w:hAnsi="Garamond" w:cs="Times New Roman"/>
          <w:sz w:val="24"/>
          <w:szCs w:val="24"/>
        </w:rPr>
        <w:t>n Childcare, UCSB, 2017-present</w:t>
      </w:r>
    </w:p>
    <w:p w:rsidR="00110518" w:rsidRDefault="00110518" w:rsidP="00110518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811225">
        <w:rPr>
          <w:rFonts w:ascii="Garamond" w:eastAsia="Times New Roman" w:hAnsi="Garamond" w:cs="Times New Roman"/>
          <w:sz w:val="24"/>
          <w:szCs w:val="24"/>
        </w:rPr>
        <w:t>Member, Chancellor's Committee on the Status of Women, UCSB 2014-</w:t>
      </w:r>
      <w:r w:rsidR="00E91E59">
        <w:rPr>
          <w:rFonts w:ascii="Garamond" w:eastAsia="Times New Roman" w:hAnsi="Garamond" w:cs="Times New Roman"/>
          <w:sz w:val="24"/>
          <w:szCs w:val="24"/>
        </w:rPr>
        <w:t>2021</w:t>
      </w:r>
    </w:p>
    <w:p w:rsidR="00110518" w:rsidRDefault="00110518" w:rsidP="00110518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6745C">
        <w:rPr>
          <w:rFonts w:ascii="Garamond" w:eastAsia="Times New Roman" w:hAnsi="Garamond" w:cs="Times New Roman"/>
          <w:sz w:val="24"/>
          <w:szCs w:val="24"/>
        </w:rPr>
        <w:t>Bren School Faculty Executive Committee, 2009-2010, 2015-2017</w:t>
      </w:r>
      <w:r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CE4700">
        <w:rPr>
          <w:rFonts w:ascii="Garamond" w:eastAsia="Times New Roman" w:hAnsi="Garamond" w:cs="Times New Roman"/>
          <w:sz w:val="24"/>
          <w:szCs w:val="24"/>
        </w:rPr>
        <w:t>2018-</w:t>
      </w:r>
      <w:r w:rsidR="00E91E59">
        <w:rPr>
          <w:rFonts w:ascii="Garamond" w:eastAsia="Times New Roman" w:hAnsi="Garamond" w:cs="Times New Roman"/>
          <w:sz w:val="24"/>
          <w:szCs w:val="24"/>
        </w:rPr>
        <w:t>2020</w:t>
      </w:r>
      <w:r w:rsidR="005F0021">
        <w:rPr>
          <w:rFonts w:ascii="Garamond" w:eastAsia="Times New Roman" w:hAnsi="Garamond" w:cs="Times New Roman"/>
          <w:sz w:val="24"/>
          <w:szCs w:val="24"/>
        </w:rPr>
        <w:t>, Chair 2019-2020</w:t>
      </w:r>
    </w:p>
    <w:p w:rsidR="00110518" w:rsidRDefault="00110518" w:rsidP="00110518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Convener, Environmental Politics </w:t>
      </w:r>
      <w:r w:rsidR="00CE4700">
        <w:rPr>
          <w:rFonts w:ascii="Garamond" w:eastAsia="Times New Roman" w:hAnsi="Garamond" w:cs="Times New Roman"/>
          <w:sz w:val="24"/>
          <w:szCs w:val="24"/>
        </w:rPr>
        <w:t>and Governance Conference, 2019</w:t>
      </w:r>
    </w:p>
    <w:p w:rsidR="00AE7A60" w:rsidRDefault="00AE7A60" w:rsidP="00AE7A60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Member</w:t>
      </w:r>
      <w:r w:rsidRPr="0061270A">
        <w:rPr>
          <w:rFonts w:ascii="Garamond" w:eastAsia="Times New Roman" w:hAnsi="Garamond" w:cs="Times New Roman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</w:rPr>
        <w:t xml:space="preserve">Advisory </w:t>
      </w:r>
      <w:r w:rsidRPr="0061270A">
        <w:rPr>
          <w:rFonts w:ascii="Garamond" w:eastAsia="Times New Roman" w:hAnsi="Garamond" w:cs="Times New Roman"/>
          <w:sz w:val="24"/>
          <w:szCs w:val="24"/>
        </w:rPr>
        <w:t>Board, Institute for Social, Behavioral, a</w:t>
      </w:r>
      <w:r>
        <w:rPr>
          <w:rFonts w:ascii="Garamond" w:eastAsia="Times New Roman" w:hAnsi="Garamond" w:cs="Times New Roman"/>
          <w:sz w:val="24"/>
          <w:szCs w:val="24"/>
        </w:rPr>
        <w:t xml:space="preserve">nd Economic Research, UCSB, </w:t>
      </w:r>
      <w:r w:rsidR="00110518">
        <w:rPr>
          <w:rFonts w:ascii="Garamond" w:eastAsia="Times New Roman" w:hAnsi="Garamond" w:cs="Times New Roman"/>
          <w:sz w:val="24"/>
          <w:szCs w:val="24"/>
        </w:rPr>
        <w:t xml:space="preserve">2014-2015, </w:t>
      </w:r>
      <w:r>
        <w:rPr>
          <w:rFonts w:ascii="Garamond" w:eastAsia="Times New Roman" w:hAnsi="Garamond" w:cs="Times New Roman"/>
          <w:sz w:val="24"/>
          <w:szCs w:val="24"/>
        </w:rPr>
        <w:t>2017</w:t>
      </w:r>
      <w:r w:rsidRPr="0061270A">
        <w:rPr>
          <w:rFonts w:ascii="Garamond" w:eastAsia="Times New Roman" w:hAnsi="Garamond" w:cs="Times New Roman"/>
          <w:sz w:val="24"/>
          <w:szCs w:val="24"/>
        </w:rPr>
        <w:t>-</w:t>
      </w:r>
      <w:r w:rsidR="00D23240">
        <w:rPr>
          <w:rFonts w:ascii="Garamond" w:eastAsia="Times New Roman" w:hAnsi="Garamond" w:cs="Times New Roman"/>
          <w:sz w:val="24"/>
          <w:szCs w:val="24"/>
        </w:rPr>
        <w:t>2018</w:t>
      </w:r>
    </w:p>
    <w:p w:rsidR="0061270A" w:rsidRDefault="0061270A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Chair</w:t>
      </w:r>
      <w:r w:rsidRPr="0061270A">
        <w:rPr>
          <w:rFonts w:ascii="Garamond" w:eastAsia="Times New Roman" w:hAnsi="Garamond" w:cs="Times New Roman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</w:rPr>
        <w:t xml:space="preserve">Advisory </w:t>
      </w:r>
      <w:r w:rsidRPr="0061270A">
        <w:rPr>
          <w:rFonts w:ascii="Garamond" w:eastAsia="Times New Roman" w:hAnsi="Garamond" w:cs="Times New Roman"/>
          <w:sz w:val="24"/>
          <w:szCs w:val="24"/>
        </w:rPr>
        <w:t>Board, Institute for Social, Behavioral, a</w:t>
      </w:r>
      <w:r>
        <w:rPr>
          <w:rFonts w:ascii="Garamond" w:eastAsia="Times New Roman" w:hAnsi="Garamond" w:cs="Times New Roman"/>
          <w:sz w:val="24"/>
          <w:szCs w:val="24"/>
        </w:rPr>
        <w:t>nd Economic Research, UCSB, 2015</w:t>
      </w:r>
      <w:r w:rsidR="00AE7A60">
        <w:rPr>
          <w:rFonts w:ascii="Garamond" w:eastAsia="Times New Roman" w:hAnsi="Garamond" w:cs="Times New Roman"/>
          <w:sz w:val="24"/>
          <w:szCs w:val="24"/>
        </w:rPr>
        <w:t>-2017</w:t>
      </w:r>
    </w:p>
    <w:p w:rsidR="00AE7A60" w:rsidRDefault="00AE7A60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Vice-Chair,</w:t>
      </w:r>
      <w:r w:rsidRPr="00AE7A60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UCSB Graduate Council, 2016 </w:t>
      </w:r>
    </w:p>
    <w:p w:rsidR="00EE532F" w:rsidRDefault="00EE532F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Member, UCS</w:t>
      </w:r>
      <w:r w:rsidR="00AE7A60">
        <w:rPr>
          <w:rFonts w:ascii="Garamond" w:eastAsia="Times New Roman" w:hAnsi="Garamond" w:cs="Times New Roman"/>
          <w:sz w:val="24"/>
          <w:szCs w:val="24"/>
        </w:rPr>
        <w:t>B Graduate Council, 2014-2017</w:t>
      </w:r>
    </w:p>
    <w:p w:rsidR="00110518" w:rsidRDefault="00110518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10518">
        <w:rPr>
          <w:rFonts w:ascii="Garamond" w:eastAsia="Times New Roman" w:hAnsi="Garamond" w:cs="Times New Roman"/>
          <w:sz w:val="24"/>
          <w:szCs w:val="24"/>
        </w:rPr>
        <w:t>Graduate Diversity Officer, Bren School</w:t>
      </w:r>
      <w:r>
        <w:rPr>
          <w:rFonts w:ascii="Garamond" w:eastAsia="Times New Roman" w:hAnsi="Garamond" w:cs="Times New Roman"/>
          <w:sz w:val="24"/>
          <w:szCs w:val="24"/>
        </w:rPr>
        <w:t>, 2016-18</w:t>
      </w:r>
    </w:p>
    <w:p w:rsidR="008B45A9" w:rsidRDefault="00A8419E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Founding </w:t>
      </w:r>
      <w:r w:rsidR="008B45A9">
        <w:rPr>
          <w:rFonts w:ascii="Garamond" w:eastAsia="Times New Roman" w:hAnsi="Garamond" w:cs="Times New Roman"/>
          <w:sz w:val="24"/>
          <w:szCs w:val="24"/>
        </w:rPr>
        <w:t>Chair, Bren School Diversity Committee, 2015-2018</w:t>
      </w:r>
      <w:r w:rsidR="00435828">
        <w:rPr>
          <w:rFonts w:ascii="Garamond" w:eastAsia="Times New Roman" w:hAnsi="Garamond" w:cs="Times New Roman"/>
          <w:sz w:val="24"/>
          <w:szCs w:val="24"/>
        </w:rPr>
        <w:t>, member 2019-2019, ex-officio member 2019-present.</w:t>
      </w:r>
    </w:p>
    <w:p w:rsidR="00356B69" w:rsidRPr="00356B69" w:rsidRDefault="00CF1A1F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Convene</w:t>
      </w:r>
      <w:r w:rsidR="00356B69" w:rsidRPr="00356B69">
        <w:rPr>
          <w:rFonts w:ascii="Garamond" w:eastAsia="Times New Roman" w:hAnsi="Garamond" w:cs="Times New Roman"/>
          <w:sz w:val="24"/>
          <w:szCs w:val="24"/>
        </w:rPr>
        <w:t>r, UCSB Environmental Politics Conference 2013</w:t>
      </w:r>
      <w:r w:rsidR="00DB3E9C">
        <w:rPr>
          <w:rFonts w:ascii="Garamond" w:eastAsia="Times New Roman" w:hAnsi="Garamond" w:cs="Times New Roman"/>
          <w:sz w:val="24"/>
          <w:szCs w:val="24"/>
        </w:rPr>
        <w:t>, 2014</w:t>
      </w:r>
      <w:r w:rsidR="004258D2">
        <w:rPr>
          <w:rFonts w:ascii="Garamond" w:eastAsia="Times New Roman" w:hAnsi="Garamond" w:cs="Times New Roman"/>
          <w:sz w:val="24"/>
          <w:szCs w:val="24"/>
        </w:rPr>
        <w:t>, 2015</w:t>
      </w:r>
      <w:r w:rsidR="0061270A">
        <w:rPr>
          <w:rFonts w:ascii="Garamond" w:eastAsia="Times New Roman" w:hAnsi="Garamond" w:cs="Times New Roman"/>
          <w:sz w:val="24"/>
          <w:szCs w:val="24"/>
        </w:rPr>
        <w:t>, 2016</w:t>
      </w:r>
    </w:p>
    <w:p w:rsidR="00356B69" w:rsidRPr="00356B69" w:rsidRDefault="00356B6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56B69">
        <w:rPr>
          <w:rFonts w:ascii="Garamond" w:eastAsia="Times New Roman" w:hAnsi="Garamond" w:cs="Times New Roman"/>
          <w:sz w:val="24"/>
          <w:szCs w:val="24"/>
        </w:rPr>
        <w:t xml:space="preserve">Bren School PhD </w:t>
      </w:r>
      <w:r w:rsidR="0066745C">
        <w:rPr>
          <w:rFonts w:ascii="Garamond" w:eastAsia="Times New Roman" w:hAnsi="Garamond" w:cs="Times New Roman"/>
          <w:sz w:val="24"/>
          <w:szCs w:val="24"/>
        </w:rPr>
        <w:t xml:space="preserve">Program </w:t>
      </w:r>
      <w:r w:rsidRPr="00356B69">
        <w:rPr>
          <w:rFonts w:ascii="Garamond" w:eastAsia="Times New Roman" w:hAnsi="Garamond" w:cs="Times New Roman"/>
          <w:sz w:val="24"/>
          <w:szCs w:val="24"/>
        </w:rPr>
        <w:t>Committee, 2012-</w:t>
      </w:r>
      <w:r w:rsidR="004258D2">
        <w:rPr>
          <w:rFonts w:ascii="Garamond" w:eastAsia="Times New Roman" w:hAnsi="Garamond" w:cs="Times New Roman"/>
          <w:sz w:val="24"/>
          <w:szCs w:val="24"/>
        </w:rPr>
        <w:t>2015</w:t>
      </w:r>
    </w:p>
    <w:p w:rsidR="005F0021" w:rsidRDefault="005F0021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9277A9" w:rsidRDefault="009277A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PROFESSIONAL ASSOCIATIONS</w:t>
      </w:r>
    </w:p>
    <w:p w:rsidR="009277A9" w:rsidRDefault="009277A9" w:rsidP="00356B69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American Political Science Association (APSA)</w:t>
      </w:r>
    </w:p>
    <w:p w:rsidR="009277A9" w:rsidRDefault="009277A9" w:rsidP="00AE7A60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Midwest Political Science Association</w:t>
      </w:r>
    </w:p>
    <w:p w:rsidR="008B45A9" w:rsidRPr="009277A9" w:rsidRDefault="008B45A9" w:rsidP="00AE7A60">
      <w:pPr>
        <w:tabs>
          <w:tab w:val="left" w:pos="720"/>
          <w:tab w:val="left" w:pos="1440"/>
          <w:tab w:val="left" w:pos="1980"/>
          <w:tab w:val="left" w:pos="22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Western Political Science Association</w:t>
      </w:r>
    </w:p>
    <w:sectPr w:rsidR="008B45A9" w:rsidRPr="009277A9" w:rsidSect="00C66448">
      <w:endnotePr>
        <w:numFmt w:val="decimal"/>
      </w:endnotePr>
      <w:type w:val="continuous"/>
      <w:pgSz w:w="12240" w:h="15840"/>
      <w:pgMar w:top="1008" w:right="720" w:bottom="720" w:left="864" w:header="1008" w:footer="9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53" w:rsidRDefault="007C1053">
      <w:pPr>
        <w:spacing w:after="0" w:line="240" w:lineRule="auto"/>
      </w:pPr>
      <w:r>
        <w:separator/>
      </w:r>
    </w:p>
  </w:endnote>
  <w:endnote w:type="continuationSeparator" w:id="0">
    <w:p w:rsidR="007C1053" w:rsidRDefault="007C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53" w:rsidRDefault="007C1053">
      <w:pPr>
        <w:spacing w:after="0" w:line="240" w:lineRule="auto"/>
      </w:pPr>
      <w:r>
        <w:separator/>
      </w:r>
    </w:p>
  </w:footnote>
  <w:footnote w:type="continuationSeparator" w:id="0">
    <w:p w:rsidR="007C1053" w:rsidRDefault="007C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40" w:rsidRDefault="00D23240" w:rsidP="00C6644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 w:rsidRPr="00C66448">
      <w:rPr>
        <w:rFonts w:ascii="Garamond" w:eastAsia="Times New Roman" w:hAnsi="Garamond" w:cs="Times New Roman"/>
        <w:sz w:val="20"/>
        <w:szCs w:val="24"/>
      </w:rPr>
      <w:t xml:space="preserve">Last updated on </w:t>
    </w:r>
    <w:r w:rsidRPr="00C66448">
      <w:rPr>
        <w:rFonts w:ascii="Garamond" w:eastAsia="Times New Roman" w:hAnsi="Garamond" w:cs="Times New Roman"/>
        <w:sz w:val="20"/>
        <w:szCs w:val="24"/>
      </w:rPr>
      <w:fldChar w:fldCharType="begin"/>
    </w:r>
    <w:r w:rsidRPr="00C66448">
      <w:rPr>
        <w:rFonts w:ascii="Garamond" w:eastAsia="Times New Roman" w:hAnsi="Garamond" w:cs="Times New Roman"/>
        <w:sz w:val="20"/>
        <w:szCs w:val="24"/>
      </w:rPr>
      <w:instrText xml:space="preserve"> DATE  \@ "MMMM d, yyyy"  \* MERGEFORMAT </w:instrText>
    </w:r>
    <w:r w:rsidRPr="00C66448">
      <w:rPr>
        <w:rFonts w:ascii="Garamond" w:eastAsia="Times New Roman" w:hAnsi="Garamond" w:cs="Times New Roman"/>
        <w:sz w:val="20"/>
        <w:szCs w:val="24"/>
      </w:rPr>
      <w:fldChar w:fldCharType="separate"/>
    </w:r>
    <w:r w:rsidR="006C2C2C">
      <w:rPr>
        <w:rFonts w:ascii="Garamond" w:eastAsia="Times New Roman" w:hAnsi="Garamond" w:cs="Times New Roman"/>
        <w:noProof/>
        <w:sz w:val="20"/>
        <w:szCs w:val="24"/>
      </w:rPr>
      <w:t>February 21, 2023</w:t>
    </w:r>
    <w:r w:rsidRPr="00C66448">
      <w:rPr>
        <w:rFonts w:ascii="Garamond" w:eastAsia="Times New Roman" w:hAnsi="Garamond" w:cs="Times New Roman"/>
        <w:sz w:val="20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240" w:rsidRPr="00C66448" w:rsidRDefault="00D23240" w:rsidP="00C66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9"/>
    <w:rsid w:val="00045CE2"/>
    <w:rsid w:val="0005319F"/>
    <w:rsid w:val="0007704E"/>
    <w:rsid w:val="00083F5D"/>
    <w:rsid w:val="000C6E10"/>
    <w:rsid w:val="000D14E3"/>
    <w:rsid w:val="000F5414"/>
    <w:rsid w:val="00106BE9"/>
    <w:rsid w:val="0010724F"/>
    <w:rsid w:val="00110518"/>
    <w:rsid w:val="0011561C"/>
    <w:rsid w:val="00121B46"/>
    <w:rsid w:val="00132189"/>
    <w:rsid w:val="0013271D"/>
    <w:rsid w:val="00135C43"/>
    <w:rsid w:val="00152F60"/>
    <w:rsid w:val="001567A8"/>
    <w:rsid w:val="0017418D"/>
    <w:rsid w:val="001777E5"/>
    <w:rsid w:val="001938DF"/>
    <w:rsid w:val="001C25FF"/>
    <w:rsid w:val="001D1784"/>
    <w:rsid w:val="001D769D"/>
    <w:rsid w:val="001D7F1A"/>
    <w:rsid w:val="001E2682"/>
    <w:rsid w:val="001F2F12"/>
    <w:rsid w:val="001F3B8A"/>
    <w:rsid w:val="001F64BC"/>
    <w:rsid w:val="001F759A"/>
    <w:rsid w:val="00204BF8"/>
    <w:rsid w:val="0022376D"/>
    <w:rsid w:val="00233F2A"/>
    <w:rsid w:val="002347D9"/>
    <w:rsid w:val="00236F1D"/>
    <w:rsid w:val="00245F32"/>
    <w:rsid w:val="00282728"/>
    <w:rsid w:val="002A0255"/>
    <w:rsid w:val="002A7827"/>
    <w:rsid w:val="00301CE4"/>
    <w:rsid w:val="003105BE"/>
    <w:rsid w:val="003147B2"/>
    <w:rsid w:val="00331915"/>
    <w:rsid w:val="0034059D"/>
    <w:rsid w:val="003445FE"/>
    <w:rsid w:val="00347BDE"/>
    <w:rsid w:val="00356B69"/>
    <w:rsid w:val="003644E1"/>
    <w:rsid w:val="00374ADA"/>
    <w:rsid w:val="0037691B"/>
    <w:rsid w:val="00377020"/>
    <w:rsid w:val="00384FB9"/>
    <w:rsid w:val="00386698"/>
    <w:rsid w:val="003A3AFE"/>
    <w:rsid w:val="003C3B94"/>
    <w:rsid w:val="003D309B"/>
    <w:rsid w:val="003F2C7A"/>
    <w:rsid w:val="003F4C69"/>
    <w:rsid w:val="004258D2"/>
    <w:rsid w:val="00435828"/>
    <w:rsid w:val="00450807"/>
    <w:rsid w:val="004538A6"/>
    <w:rsid w:val="00464B1F"/>
    <w:rsid w:val="00474ADB"/>
    <w:rsid w:val="00493CF3"/>
    <w:rsid w:val="004A1A5B"/>
    <w:rsid w:val="004A3887"/>
    <w:rsid w:val="004A3BEF"/>
    <w:rsid w:val="004C0D69"/>
    <w:rsid w:val="004C1871"/>
    <w:rsid w:val="004C247D"/>
    <w:rsid w:val="004D455C"/>
    <w:rsid w:val="004F5D95"/>
    <w:rsid w:val="00515985"/>
    <w:rsid w:val="00527D56"/>
    <w:rsid w:val="00534E22"/>
    <w:rsid w:val="0055610F"/>
    <w:rsid w:val="0057204C"/>
    <w:rsid w:val="005817F6"/>
    <w:rsid w:val="00592316"/>
    <w:rsid w:val="005A68BB"/>
    <w:rsid w:val="005A74D1"/>
    <w:rsid w:val="005C3CBA"/>
    <w:rsid w:val="005C4CA4"/>
    <w:rsid w:val="005C7BD8"/>
    <w:rsid w:val="005F0021"/>
    <w:rsid w:val="005F5202"/>
    <w:rsid w:val="00601429"/>
    <w:rsid w:val="00610C4F"/>
    <w:rsid w:val="0061270A"/>
    <w:rsid w:val="00612FA0"/>
    <w:rsid w:val="0063252C"/>
    <w:rsid w:val="00636078"/>
    <w:rsid w:val="006575D7"/>
    <w:rsid w:val="0066745C"/>
    <w:rsid w:val="00695FA0"/>
    <w:rsid w:val="006A1994"/>
    <w:rsid w:val="006A245B"/>
    <w:rsid w:val="006B5335"/>
    <w:rsid w:val="006B6E9A"/>
    <w:rsid w:val="006C08A5"/>
    <w:rsid w:val="006C1477"/>
    <w:rsid w:val="006C2C2C"/>
    <w:rsid w:val="006D5F45"/>
    <w:rsid w:val="006E6A98"/>
    <w:rsid w:val="006E7BC9"/>
    <w:rsid w:val="006F0D34"/>
    <w:rsid w:val="006F1AB0"/>
    <w:rsid w:val="006F2507"/>
    <w:rsid w:val="00714547"/>
    <w:rsid w:val="00714B28"/>
    <w:rsid w:val="0072431B"/>
    <w:rsid w:val="007252A6"/>
    <w:rsid w:val="007324F7"/>
    <w:rsid w:val="00740FA4"/>
    <w:rsid w:val="00751125"/>
    <w:rsid w:val="00753A1A"/>
    <w:rsid w:val="00757975"/>
    <w:rsid w:val="00785BFC"/>
    <w:rsid w:val="00787D26"/>
    <w:rsid w:val="007920DD"/>
    <w:rsid w:val="00794C2E"/>
    <w:rsid w:val="007A3223"/>
    <w:rsid w:val="007B06F4"/>
    <w:rsid w:val="007C1053"/>
    <w:rsid w:val="007C474B"/>
    <w:rsid w:val="007C6D35"/>
    <w:rsid w:val="007D61BA"/>
    <w:rsid w:val="007D6795"/>
    <w:rsid w:val="008050BF"/>
    <w:rsid w:val="008065D0"/>
    <w:rsid w:val="00811225"/>
    <w:rsid w:val="0082769C"/>
    <w:rsid w:val="008628F6"/>
    <w:rsid w:val="008A6498"/>
    <w:rsid w:val="008B26A6"/>
    <w:rsid w:val="008B45A9"/>
    <w:rsid w:val="008C5DA0"/>
    <w:rsid w:val="008D4187"/>
    <w:rsid w:val="008E324B"/>
    <w:rsid w:val="008F55AB"/>
    <w:rsid w:val="00902610"/>
    <w:rsid w:val="00907A4A"/>
    <w:rsid w:val="00915527"/>
    <w:rsid w:val="009277A9"/>
    <w:rsid w:val="00935DC8"/>
    <w:rsid w:val="00942AD7"/>
    <w:rsid w:val="009576D5"/>
    <w:rsid w:val="00961110"/>
    <w:rsid w:val="00972A78"/>
    <w:rsid w:val="00994B11"/>
    <w:rsid w:val="009B2863"/>
    <w:rsid w:val="009B54DB"/>
    <w:rsid w:val="009B68D3"/>
    <w:rsid w:val="009C2435"/>
    <w:rsid w:val="009C6753"/>
    <w:rsid w:val="009F603A"/>
    <w:rsid w:val="00A06A10"/>
    <w:rsid w:val="00A27141"/>
    <w:rsid w:val="00A3034C"/>
    <w:rsid w:val="00A44223"/>
    <w:rsid w:val="00A51C0C"/>
    <w:rsid w:val="00A61FD6"/>
    <w:rsid w:val="00A73DF5"/>
    <w:rsid w:val="00A76613"/>
    <w:rsid w:val="00A83247"/>
    <w:rsid w:val="00A83F68"/>
    <w:rsid w:val="00A8419E"/>
    <w:rsid w:val="00A91627"/>
    <w:rsid w:val="00A93F47"/>
    <w:rsid w:val="00A9439A"/>
    <w:rsid w:val="00AA2A6E"/>
    <w:rsid w:val="00AC7FC3"/>
    <w:rsid w:val="00AE7A60"/>
    <w:rsid w:val="00AF47BE"/>
    <w:rsid w:val="00AF67EB"/>
    <w:rsid w:val="00B01FCC"/>
    <w:rsid w:val="00B06AA2"/>
    <w:rsid w:val="00B2140B"/>
    <w:rsid w:val="00B255EE"/>
    <w:rsid w:val="00B41AA0"/>
    <w:rsid w:val="00B75A37"/>
    <w:rsid w:val="00B76493"/>
    <w:rsid w:val="00B767BC"/>
    <w:rsid w:val="00BC1771"/>
    <w:rsid w:val="00BE3807"/>
    <w:rsid w:val="00BE3F34"/>
    <w:rsid w:val="00BE428C"/>
    <w:rsid w:val="00BF05C9"/>
    <w:rsid w:val="00BF0EC4"/>
    <w:rsid w:val="00C012C3"/>
    <w:rsid w:val="00C03E9F"/>
    <w:rsid w:val="00C13502"/>
    <w:rsid w:val="00C1436C"/>
    <w:rsid w:val="00C53F0B"/>
    <w:rsid w:val="00C54127"/>
    <w:rsid w:val="00C63823"/>
    <w:rsid w:val="00C66448"/>
    <w:rsid w:val="00C92D4D"/>
    <w:rsid w:val="00CA20DA"/>
    <w:rsid w:val="00CA45A3"/>
    <w:rsid w:val="00CB4311"/>
    <w:rsid w:val="00CD2876"/>
    <w:rsid w:val="00CE0BD3"/>
    <w:rsid w:val="00CE4700"/>
    <w:rsid w:val="00CE4CAF"/>
    <w:rsid w:val="00CF1A1F"/>
    <w:rsid w:val="00D20158"/>
    <w:rsid w:val="00D20371"/>
    <w:rsid w:val="00D22FE0"/>
    <w:rsid w:val="00D23240"/>
    <w:rsid w:val="00D26A51"/>
    <w:rsid w:val="00D2731F"/>
    <w:rsid w:val="00D3217C"/>
    <w:rsid w:val="00D46E85"/>
    <w:rsid w:val="00D5772C"/>
    <w:rsid w:val="00D609B0"/>
    <w:rsid w:val="00D61CC9"/>
    <w:rsid w:val="00D66233"/>
    <w:rsid w:val="00D735A1"/>
    <w:rsid w:val="00D80A2F"/>
    <w:rsid w:val="00D83EDA"/>
    <w:rsid w:val="00D87CB9"/>
    <w:rsid w:val="00DB3E9C"/>
    <w:rsid w:val="00DB6611"/>
    <w:rsid w:val="00DC34CE"/>
    <w:rsid w:val="00E30226"/>
    <w:rsid w:val="00E40DFB"/>
    <w:rsid w:val="00E42EBC"/>
    <w:rsid w:val="00E431D2"/>
    <w:rsid w:val="00E56AA6"/>
    <w:rsid w:val="00E66D2E"/>
    <w:rsid w:val="00E74653"/>
    <w:rsid w:val="00E77B01"/>
    <w:rsid w:val="00E91E59"/>
    <w:rsid w:val="00EE001D"/>
    <w:rsid w:val="00EE532F"/>
    <w:rsid w:val="00EE640C"/>
    <w:rsid w:val="00EE7E68"/>
    <w:rsid w:val="00F05B8A"/>
    <w:rsid w:val="00F073D1"/>
    <w:rsid w:val="00F543B1"/>
    <w:rsid w:val="00F54EB2"/>
    <w:rsid w:val="00F7173E"/>
    <w:rsid w:val="00F729CC"/>
    <w:rsid w:val="00F84C9F"/>
    <w:rsid w:val="00F86144"/>
    <w:rsid w:val="00F925FE"/>
    <w:rsid w:val="00FA158A"/>
    <w:rsid w:val="00FD11B7"/>
    <w:rsid w:val="00FD7C0E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5BBC"/>
  <w15:docId w15:val="{6A6728B7-2FF8-4FC8-9AC3-9F83C3C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69"/>
  </w:style>
  <w:style w:type="paragraph" w:styleId="CommentText">
    <w:name w:val="annotation text"/>
    <w:basedOn w:val="Normal"/>
    <w:link w:val="CommentTextChar"/>
    <w:uiPriority w:val="99"/>
    <w:semiHidden/>
    <w:unhideWhenUsed/>
    <w:rsid w:val="0035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69"/>
    <w:rPr>
      <w:sz w:val="20"/>
      <w:szCs w:val="20"/>
    </w:rPr>
  </w:style>
  <w:style w:type="character" w:styleId="CommentReference">
    <w:name w:val="annotation reference"/>
    <w:rsid w:val="00356B6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8D"/>
  </w:style>
  <w:style w:type="paragraph" w:customStyle="1" w:styleId="Body">
    <w:name w:val="Body"/>
    <w:basedOn w:val="Normal"/>
    <w:rsid w:val="00A93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it-doi">
    <w:name w:val="cit-doi"/>
    <w:basedOn w:val="DefaultParagraphFont"/>
    <w:rsid w:val="00282728"/>
  </w:style>
  <w:style w:type="character" w:customStyle="1" w:styleId="cit-sep">
    <w:name w:val="cit-sep"/>
    <w:basedOn w:val="DefaultParagraphFont"/>
    <w:rsid w:val="00282728"/>
  </w:style>
  <w:style w:type="character" w:styleId="Hyperlink">
    <w:name w:val="Hyperlink"/>
    <w:basedOn w:val="DefaultParagraphFont"/>
    <w:uiPriority w:val="99"/>
    <w:unhideWhenUsed/>
    <w:rsid w:val="00D26A51"/>
    <w:rPr>
      <w:color w:val="0000FF" w:themeColor="hyperlink"/>
      <w:u w:val="single"/>
    </w:rPr>
  </w:style>
  <w:style w:type="character" w:customStyle="1" w:styleId="epub-sectionitem">
    <w:name w:val="epub-section__item"/>
    <w:basedOn w:val="DefaultParagraphFont"/>
    <w:rsid w:val="006C14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7D9"/>
    <w:rPr>
      <w:color w:val="800080" w:themeColor="followedHyperlink"/>
      <w:u w:val="single"/>
    </w:rPr>
  </w:style>
  <w:style w:type="character" w:customStyle="1" w:styleId="volumeissue">
    <w:name w:val="volume_issue"/>
    <w:basedOn w:val="DefaultParagraphFont"/>
    <w:rsid w:val="008B26A6"/>
  </w:style>
  <w:style w:type="character" w:customStyle="1" w:styleId="pagerange">
    <w:name w:val="page_range"/>
    <w:basedOn w:val="DefaultParagraphFont"/>
    <w:rsid w:val="008B26A6"/>
  </w:style>
  <w:style w:type="character" w:styleId="UnresolvedMention">
    <w:name w:val="Unresolved Mention"/>
    <w:basedOn w:val="DefaultParagraphFont"/>
    <w:uiPriority w:val="99"/>
    <w:semiHidden/>
    <w:unhideWhenUsed/>
    <w:rsid w:val="00A73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5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er.org/system/files/chapters/c14706/c14706.pdf" TargetMode="External"/><Relationship Id="rId18" Type="http://schemas.openxmlformats.org/officeDocument/2006/relationships/hyperlink" Target="https://doi.org/10.1371/journal.pone.0220320" TargetMode="External"/><Relationship Id="rId26" Type="http://schemas.openxmlformats.org/officeDocument/2006/relationships/hyperlink" Target="https://doi.org/10.1002/2016WR020136" TargetMode="External"/><Relationship Id="rId39" Type="http://schemas.openxmlformats.org/officeDocument/2006/relationships/hyperlink" Target="https://doi.org/10.1111/j.1540-6210.2012.02627.x" TargetMode="External"/><Relationship Id="rId21" Type="http://schemas.openxmlformats.org/officeDocument/2006/relationships/hyperlink" Target="https://doi.org/10.1111/ecin.12781" TargetMode="External"/><Relationship Id="rId34" Type="http://schemas.openxmlformats.org/officeDocument/2006/relationships/hyperlink" Target="http://dx.doi.org/10.1111%2Fjiec.12183" TargetMode="External"/><Relationship Id="rId42" Type="http://schemas.openxmlformats.org/officeDocument/2006/relationships/hyperlink" Target="https://doi.org/10.1080/09644016.2011.589579" TargetMode="External"/><Relationship Id="rId47" Type="http://schemas.openxmlformats.org/officeDocument/2006/relationships/hyperlink" Target="http://eh.net/book_reviews/when-money-grew-on-trees-a-b-hammond-and-the-age-of-the-timber-baron/" TargetMode="Externa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i.org/10.1002/pam.22246" TargetMode="External"/><Relationship Id="rId29" Type="http://schemas.openxmlformats.org/officeDocument/2006/relationships/hyperlink" Target="https://doi.org/10.1111/lsq.12124" TargetMode="External"/><Relationship Id="rId11" Type="http://schemas.openxmlformats.org/officeDocument/2006/relationships/hyperlink" Target="https://onlinelibrary.wiley.com/doi/full/10.1002/rhc3.12261" TargetMode="External"/><Relationship Id="rId24" Type="http://schemas.openxmlformats.org/officeDocument/2006/relationships/hyperlink" Target="https://doi.org/10.1142/S2010007819500039" TargetMode="External"/><Relationship Id="rId32" Type="http://schemas.openxmlformats.org/officeDocument/2006/relationships/hyperlink" Target="https://doi.org/10.1080/07343469.2013.852273" TargetMode="External"/><Relationship Id="rId37" Type="http://schemas.openxmlformats.org/officeDocument/2006/relationships/hyperlink" Target="http://www.ajelp.com/articles/ecosystem-service-tradeoff-analysis/" TargetMode="External"/><Relationship Id="rId40" Type="http://schemas.openxmlformats.org/officeDocument/2006/relationships/hyperlink" Target="https://doi.org/10.1111/j.1747-1346.2012.00396.x" TargetMode="External"/><Relationship Id="rId45" Type="http://schemas.openxmlformats.org/officeDocument/2006/relationships/hyperlink" Target="https://doi.org/10.4337/9781788972840.000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177/0013916519896868" TargetMode="External"/><Relationship Id="rId23" Type="http://schemas.openxmlformats.org/officeDocument/2006/relationships/hyperlink" Target="https://doi.org/10.1016/j.geomorph.2019.04.001" TargetMode="External"/><Relationship Id="rId28" Type="http://schemas.openxmlformats.org/officeDocument/2006/relationships/hyperlink" Target="https://doi.org/10.1093/jopart/muw002" TargetMode="External"/><Relationship Id="rId36" Type="http://schemas.openxmlformats.org/officeDocument/2006/relationships/hyperlink" Target="https://doi.org/10.1002/pam.2169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i.org/10.1086/722044" TargetMode="External"/><Relationship Id="rId19" Type="http://schemas.openxmlformats.org/officeDocument/2006/relationships/hyperlink" Target="https://doi.org/10.1080/10871209.2019.1622055" TargetMode="External"/><Relationship Id="rId31" Type="http://schemas.openxmlformats.org/officeDocument/2006/relationships/hyperlink" Target="https://doi.org/10.1177%2F1532673X13511658" TargetMode="External"/><Relationship Id="rId44" Type="http://schemas.openxmlformats.org/officeDocument/2006/relationships/hyperlink" Target="https://doi.org/10.1093/pan/mpn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bridge.org/core/journals/perspectives-on-politics/article/abs/rejecting-compromise-legislators-fear-of-primary-voters-by-sarah-e-anderson-daniel-m-butler-and-laurel-harbridgeyong-new-york-cambridge-university-press-2020-172p-9999-cloth/992304382C3E9BC9A66474BD628AE344" TargetMode="External"/><Relationship Id="rId14" Type="http://schemas.openxmlformats.org/officeDocument/2006/relationships/hyperlink" Target="https://onlinelibrary.wiley.com/doi/10.1111/lsq.12366" TargetMode="External"/><Relationship Id="rId22" Type="http://schemas.openxmlformats.org/officeDocument/2006/relationships/hyperlink" Target="https://doi.org/10.1111/psj.12331" TargetMode="External"/><Relationship Id="rId27" Type="http://schemas.openxmlformats.org/officeDocument/2006/relationships/hyperlink" Target="https://doi.org/10.1002/bes2.1336" TargetMode="External"/><Relationship Id="rId30" Type="http://schemas.openxmlformats.org/officeDocument/2006/relationships/hyperlink" Target="https://doi.org/10.1177/1532673X13511658" TargetMode="External"/><Relationship Id="rId35" Type="http://schemas.openxmlformats.org/officeDocument/2006/relationships/hyperlink" Target="https://doi.org/10.1002/rhc3.12044" TargetMode="External"/><Relationship Id="rId43" Type="http://schemas.openxmlformats.org/officeDocument/2006/relationships/hyperlink" Target="https://doi.org/10.1111/j.1540-6210.2010.02160.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ucdrn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mbridge.org/core/journals/ps-political-science-and-politics/article/concrete-diversity-initiatives-in-political-science-a-faculty-workload-intervention-program/C70D8E0FC24E48716F6B645E960DB6AF" TargetMode="External"/><Relationship Id="rId17" Type="http://schemas.openxmlformats.org/officeDocument/2006/relationships/hyperlink" Target="http://www.sciencedirect.com/science/article/pii/S0169534720300951" TargetMode="External"/><Relationship Id="rId25" Type="http://schemas.openxmlformats.org/officeDocument/2006/relationships/hyperlink" Target="https://www.nature.com/articles/s41558-018-0208-8" TargetMode="External"/><Relationship Id="rId33" Type="http://schemas.openxmlformats.org/officeDocument/2006/relationships/hyperlink" Target="https://doi.org/10.1016/j.marpol.2014.06.007" TargetMode="External"/><Relationship Id="rId38" Type="http://schemas.openxmlformats.org/officeDocument/2006/relationships/hyperlink" Target="https://doi.org/10.1007/s00267-013-0165-y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doi.org/10.1111/ajps.12428" TargetMode="External"/><Relationship Id="rId41" Type="http://schemas.openxmlformats.org/officeDocument/2006/relationships/hyperlink" Target="https://doi.org/10.1111/j.1939-9162.2012.00056.x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erson@bren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8</cp:revision>
  <cp:lastPrinted>2022-02-02T19:20:00Z</cp:lastPrinted>
  <dcterms:created xsi:type="dcterms:W3CDTF">2023-01-26T22:44:00Z</dcterms:created>
  <dcterms:modified xsi:type="dcterms:W3CDTF">2023-02-21T20:29:00Z</dcterms:modified>
</cp:coreProperties>
</file>